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A0" w:firstRow="1" w:lastRow="0" w:firstColumn="1" w:lastColumn="0" w:noHBand="0" w:noVBand="0"/>
      </w:tblPr>
      <w:tblGrid>
        <w:gridCol w:w="8613"/>
      </w:tblGrid>
      <w:tr w:rsidR="007B574D" w:rsidRPr="00F25C3D" w14:paraId="64B42900" w14:textId="77777777" w:rsidTr="0043152C">
        <w:trPr>
          <w:trHeight w:val="992"/>
        </w:trPr>
        <w:tc>
          <w:tcPr>
            <w:tcW w:w="8613" w:type="dxa"/>
            <w:hideMark/>
          </w:tcPr>
          <w:p w14:paraId="10A3CB25" w14:textId="77777777" w:rsidR="007B574D" w:rsidRPr="00F25C3D" w:rsidRDefault="002523FB">
            <w:pPr>
              <w:tabs>
                <w:tab w:val="left" w:pos="3300"/>
              </w:tabs>
              <w:jc w:val="left"/>
              <w:rPr>
                <w:b/>
              </w:rPr>
            </w:pPr>
            <w:bookmarkStart w:id="0" w:name="OLE_LINK1"/>
            <w:bookmarkStart w:id="1" w:name="OLE_LINK2"/>
            <w:r>
              <w:rPr>
                <w:noProof/>
              </w:rPr>
              <w:pict w14:anchorId="44958B96">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75pt;height:.75pt;z-index:251660288;visibility:hidden" stroked="f">
                  <v:imagedata r:id="rId7" o:title=""/>
                </v:shape>
                <w:control r:id="rId8" w:name="TrinStgClass1" w:shapeid="_x0000_s1026"/>
              </w:pict>
            </w:r>
            <w:r w:rsidR="007B574D" w:rsidRPr="00F25C3D">
              <w:rPr>
                <w:b/>
              </w:rPr>
              <w:t>Audiencia Provincial Civil de Madrid</w:t>
            </w:r>
          </w:p>
          <w:p w14:paraId="76B501E3" w14:textId="77777777" w:rsidR="007B574D" w:rsidRPr="00F25C3D" w:rsidRDefault="007B574D">
            <w:pPr>
              <w:jc w:val="left"/>
              <w:rPr>
                <w:b/>
                <w:bCs/>
                <w:color w:val="000000"/>
              </w:rPr>
            </w:pPr>
            <w:r w:rsidRPr="00F25C3D">
              <w:rPr>
                <w:b/>
                <w:bCs/>
                <w:color w:val="000000"/>
              </w:rPr>
              <w:t>Sección Decimotercera</w:t>
            </w:r>
          </w:p>
          <w:p w14:paraId="19164B31" w14:textId="77777777" w:rsidR="007B574D" w:rsidRPr="00F25C3D" w:rsidRDefault="007B574D">
            <w:pPr>
              <w:jc w:val="left"/>
              <w:rPr>
                <w:color w:val="000000"/>
              </w:rPr>
            </w:pPr>
            <w:r w:rsidRPr="00F25C3D">
              <w:rPr>
                <w:color w:val="000000"/>
              </w:rPr>
              <w:t xml:space="preserve">c/ Santiago de Compostela, </w:t>
            </w:r>
            <w:proofErr w:type="gramStart"/>
            <w:r w:rsidRPr="00F25C3D">
              <w:rPr>
                <w:color w:val="000000"/>
              </w:rPr>
              <w:t>100  ,</w:t>
            </w:r>
            <w:proofErr w:type="gramEnd"/>
            <w:r w:rsidRPr="00F25C3D">
              <w:rPr>
                <w:color w:val="000000"/>
              </w:rPr>
              <w:t xml:space="preserve"> Planta 3 - 28035</w:t>
            </w:r>
          </w:p>
          <w:p w14:paraId="074F55AB" w14:textId="77777777" w:rsidR="007B574D" w:rsidRPr="00F25C3D" w:rsidRDefault="007B574D">
            <w:pPr>
              <w:tabs>
                <w:tab w:val="left" w:pos="3300"/>
              </w:tabs>
              <w:jc w:val="left"/>
            </w:pPr>
            <w:r w:rsidRPr="00F25C3D">
              <w:t>Tfno.: 914933911</w:t>
            </w:r>
          </w:p>
          <w:p w14:paraId="099643D0" w14:textId="77777777" w:rsidR="007B574D" w:rsidRPr="00F25C3D" w:rsidRDefault="007B574D">
            <w:pPr>
              <w:tabs>
                <w:tab w:val="left" w:pos="3300"/>
              </w:tabs>
              <w:jc w:val="left"/>
              <w:rPr>
                <w:sz w:val="16"/>
                <w:szCs w:val="16"/>
              </w:rPr>
            </w:pPr>
            <w:r w:rsidRPr="00F25C3D">
              <w:rPr>
                <w:sz w:val="16"/>
                <w:szCs w:val="16"/>
              </w:rPr>
              <w:t>37007740</w:t>
            </w:r>
          </w:p>
        </w:tc>
      </w:tr>
    </w:tbl>
    <w:p w14:paraId="6E95C5CE" w14:textId="77777777" w:rsidR="009F2FF7" w:rsidRPr="00F25C3D" w:rsidRDefault="009F2FF7" w:rsidP="009F2FF7">
      <w:pPr>
        <w:tabs>
          <w:tab w:val="left" w:pos="3300"/>
        </w:tabs>
        <w:jc w:val="left"/>
        <w:rPr>
          <w:sz w:val="20"/>
          <w:szCs w:val="20"/>
        </w:rPr>
      </w:pPr>
      <w:r w:rsidRPr="00F25C3D">
        <w:rPr>
          <w:b/>
          <w:sz w:val="20"/>
          <w:szCs w:val="20"/>
        </w:rPr>
        <w:t>N.I.G.:</w:t>
      </w:r>
      <w:r w:rsidRPr="00F25C3D">
        <w:rPr>
          <w:sz w:val="20"/>
          <w:szCs w:val="20"/>
        </w:rPr>
        <w:t xml:space="preserve"> 28.092.00.2-2018/0015888</w:t>
      </w:r>
    </w:p>
    <w:p w14:paraId="02D263C1" w14:textId="77777777" w:rsidR="009F2FF7" w:rsidRPr="00F25C3D" w:rsidRDefault="009F2FF7" w:rsidP="009F2FF7">
      <w:pPr>
        <w:rPr>
          <w:b/>
          <w:sz w:val="28"/>
          <w:szCs w:val="28"/>
        </w:rPr>
      </w:pPr>
      <w:r w:rsidRPr="00F25C3D">
        <w:rPr>
          <w:b/>
          <w:sz w:val="28"/>
          <w:szCs w:val="28"/>
        </w:rPr>
        <w:t xml:space="preserve">Recurso de Apelación 500/2019 </w:t>
      </w:r>
    </w:p>
    <w:p w14:paraId="5C499696" w14:textId="77777777" w:rsidR="009F2FF7" w:rsidRPr="00F25C3D" w:rsidRDefault="009F2FF7" w:rsidP="009F2FF7">
      <w:pPr>
        <w:pStyle w:val="SinSangrado"/>
      </w:pPr>
    </w:p>
    <w:p w14:paraId="0E22F088" w14:textId="77777777" w:rsidR="009F2FF7" w:rsidRPr="00F25C3D" w:rsidRDefault="009F2FF7" w:rsidP="009F2FF7">
      <w:r w:rsidRPr="00F25C3D">
        <w:rPr>
          <w:b/>
        </w:rPr>
        <w:t>O. Judicial Origen:</w:t>
      </w:r>
      <w:r w:rsidRPr="00F25C3D">
        <w:t xml:space="preserve"> Juzgado de 1ª Instancia </w:t>
      </w:r>
      <w:proofErr w:type="spellStart"/>
      <w:r w:rsidRPr="00F25C3D">
        <w:t>nº</w:t>
      </w:r>
      <w:proofErr w:type="spellEnd"/>
      <w:r w:rsidRPr="00F25C3D">
        <w:t xml:space="preserve"> 04 de Móstoles</w:t>
      </w:r>
    </w:p>
    <w:p w14:paraId="6D725B6F" w14:textId="77777777" w:rsidR="009F2FF7" w:rsidRPr="00F25C3D" w:rsidRDefault="009F2FF7" w:rsidP="009F2FF7">
      <w:pPr>
        <w:jc w:val="left"/>
      </w:pPr>
      <w:r w:rsidRPr="00F25C3D">
        <w:t>Autos de Procedimiento Ordinario 1578/2018</w:t>
      </w:r>
    </w:p>
    <w:p w14:paraId="572A9CD8" w14:textId="77777777" w:rsidR="009F2FF7" w:rsidRPr="00F25C3D" w:rsidRDefault="009F2FF7" w:rsidP="009F2FF7">
      <w:pPr>
        <w:pStyle w:val="SinSangrado"/>
        <w:rPr>
          <w:sz w:val="16"/>
          <w:szCs w:val="16"/>
        </w:rPr>
      </w:pPr>
    </w:p>
    <w:bookmarkEnd w:id="0"/>
    <w:bookmarkEnd w:id="1"/>
    <w:p w14:paraId="32AF708B" w14:textId="77777777" w:rsidR="00484441" w:rsidRPr="00F25C3D" w:rsidRDefault="00484441" w:rsidP="00AA49FB"/>
    <w:p w14:paraId="0F7D51D3" w14:textId="77777777" w:rsidR="00484441" w:rsidRPr="00F25C3D" w:rsidRDefault="00484441" w:rsidP="00AD7182">
      <w:pPr>
        <w:spacing w:line="360" w:lineRule="auto"/>
        <w:rPr>
          <w:sz w:val="28"/>
          <w:szCs w:val="28"/>
        </w:rPr>
      </w:pPr>
    </w:p>
    <w:p w14:paraId="55B8D083" w14:textId="77777777" w:rsidR="00586625" w:rsidRPr="00F25C3D" w:rsidRDefault="00586625" w:rsidP="00AD7182">
      <w:pPr>
        <w:pStyle w:val="Encabezado"/>
        <w:tabs>
          <w:tab w:val="clear" w:pos="4252"/>
          <w:tab w:val="clear" w:pos="8504"/>
        </w:tabs>
        <w:spacing w:line="360" w:lineRule="auto"/>
        <w:jc w:val="center"/>
        <w:rPr>
          <w:sz w:val="28"/>
          <w:szCs w:val="28"/>
        </w:rPr>
      </w:pPr>
      <w:r w:rsidRPr="00F25C3D">
        <w:rPr>
          <w:b/>
          <w:bCs/>
          <w:sz w:val="28"/>
          <w:szCs w:val="28"/>
          <w:u w:val="single"/>
        </w:rPr>
        <w:t>SENTENCIA</w:t>
      </w:r>
      <w:r w:rsidR="00484441" w:rsidRPr="00F25C3D">
        <w:rPr>
          <w:b/>
          <w:bCs/>
          <w:sz w:val="28"/>
          <w:szCs w:val="28"/>
          <w:u w:val="single"/>
        </w:rPr>
        <w:t xml:space="preserve"> </w:t>
      </w:r>
      <w:proofErr w:type="spellStart"/>
      <w:proofErr w:type="gramStart"/>
      <w:r w:rsidR="00484441" w:rsidRPr="00F25C3D">
        <w:rPr>
          <w:b/>
          <w:bCs/>
          <w:sz w:val="28"/>
          <w:szCs w:val="28"/>
          <w:u w:val="single"/>
        </w:rPr>
        <w:t>Nº</w:t>
      </w:r>
      <w:proofErr w:type="spellEnd"/>
      <w:r w:rsidR="00484441" w:rsidRPr="00F25C3D">
        <w:rPr>
          <w:b/>
          <w:bCs/>
          <w:sz w:val="28"/>
          <w:szCs w:val="28"/>
          <w:u w:val="single"/>
        </w:rPr>
        <w:t xml:space="preserve"> </w:t>
      </w:r>
      <w:r w:rsidR="00615A96">
        <w:rPr>
          <w:b/>
          <w:bCs/>
          <w:sz w:val="28"/>
          <w:szCs w:val="28"/>
          <w:u w:val="single"/>
        </w:rPr>
        <w:t xml:space="preserve"> 69</w:t>
      </w:r>
      <w:proofErr w:type="gramEnd"/>
      <w:r w:rsidR="00615A96">
        <w:rPr>
          <w:b/>
          <w:bCs/>
          <w:sz w:val="28"/>
          <w:szCs w:val="28"/>
          <w:u w:val="single"/>
        </w:rPr>
        <w:t>/2020</w:t>
      </w:r>
    </w:p>
    <w:p w14:paraId="2E2408A8" w14:textId="77777777" w:rsidR="00586625" w:rsidRPr="00F25C3D" w:rsidRDefault="00586625" w:rsidP="00AD7182">
      <w:pPr>
        <w:pStyle w:val="Encabezado"/>
        <w:tabs>
          <w:tab w:val="clear" w:pos="4252"/>
          <w:tab w:val="clear" w:pos="8504"/>
        </w:tabs>
        <w:spacing w:line="360" w:lineRule="auto"/>
        <w:jc w:val="center"/>
        <w:rPr>
          <w:sz w:val="28"/>
          <w:szCs w:val="28"/>
        </w:rPr>
      </w:pPr>
    </w:p>
    <w:p w14:paraId="376CF16B" w14:textId="77777777" w:rsidR="00484441" w:rsidRPr="00F25C3D" w:rsidRDefault="00484441" w:rsidP="00AD7182">
      <w:pPr>
        <w:pStyle w:val="Encabezado"/>
        <w:tabs>
          <w:tab w:val="clear" w:pos="4252"/>
          <w:tab w:val="clear" w:pos="8504"/>
        </w:tabs>
        <w:spacing w:line="360" w:lineRule="auto"/>
        <w:jc w:val="center"/>
        <w:rPr>
          <w:sz w:val="28"/>
          <w:szCs w:val="28"/>
        </w:rPr>
      </w:pPr>
    </w:p>
    <w:p w14:paraId="69766E49" w14:textId="77777777" w:rsidR="00586625" w:rsidRPr="00F25C3D" w:rsidRDefault="00586625" w:rsidP="00AD7182">
      <w:pPr>
        <w:tabs>
          <w:tab w:val="left" w:pos="3300"/>
        </w:tabs>
        <w:spacing w:line="360" w:lineRule="auto"/>
        <w:rPr>
          <w:sz w:val="28"/>
          <w:szCs w:val="28"/>
        </w:rPr>
      </w:pPr>
      <w:r w:rsidRPr="00F25C3D">
        <w:rPr>
          <w:b/>
          <w:bCs/>
          <w:sz w:val="28"/>
          <w:szCs w:val="28"/>
        </w:rPr>
        <w:t>TRIBUNAL QUE LO DICTA</w:t>
      </w:r>
      <w:r w:rsidRPr="00F25C3D">
        <w:rPr>
          <w:sz w:val="28"/>
          <w:szCs w:val="28"/>
        </w:rPr>
        <w:t xml:space="preserve">: </w:t>
      </w:r>
    </w:p>
    <w:p w14:paraId="7F71CD3E" w14:textId="77777777" w:rsidR="00586625" w:rsidRPr="00F25C3D" w:rsidRDefault="00586625" w:rsidP="00AD7182">
      <w:pPr>
        <w:pStyle w:val="SinSangrado"/>
        <w:spacing w:line="360" w:lineRule="auto"/>
        <w:rPr>
          <w:b/>
          <w:bCs/>
          <w:sz w:val="28"/>
          <w:szCs w:val="28"/>
        </w:rPr>
      </w:pPr>
    </w:p>
    <w:p w14:paraId="4BDBC4D9" w14:textId="77777777" w:rsidR="00484441" w:rsidRPr="00F25C3D" w:rsidRDefault="00484441" w:rsidP="00AD7182">
      <w:pPr>
        <w:tabs>
          <w:tab w:val="right" w:pos="8958"/>
        </w:tabs>
        <w:spacing w:line="360" w:lineRule="auto"/>
        <w:rPr>
          <w:sz w:val="28"/>
          <w:szCs w:val="28"/>
        </w:rPr>
      </w:pPr>
      <w:r w:rsidRPr="00F25C3D">
        <w:rPr>
          <w:b/>
          <w:bCs/>
          <w:sz w:val="28"/>
          <w:szCs w:val="28"/>
        </w:rPr>
        <w:t>ILMA.</w:t>
      </w:r>
      <w:r w:rsidR="00586625" w:rsidRPr="00F25C3D">
        <w:rPr>
          <w:b/>
          <w:bCs/>
          <w:sz w:val="28"/>
          <w:szCs w:val="28"/>
        </w:rPr>
        <w:t>SRA. PRESIDENTE</w:t>
      </w:r>
      <w:r w:rsidR="00586625" w:rsidRPr="00F25C3D">
        <w:rPr>
          <w:sz w:val="28"/>
          <w:szCs w:val="28"/>
        </w:rPr>
        <w:t>:</w:t>
      </w:r>
    </w:p>
    <w:p w14:paraId="491BA674" w14:textId="77777777" w:rsidR="00586625" w:rsidRPr="00F25C3D" w:rsidRDefault="00484441" w:rsidP="00AD7182">
      <w:pPr>
        <w:tabs>
          <w:tab w:val="right" w:pos="8958"/>
        </w:tabs>
        <w:spacing w:line="360" w:lineRule="auto"/>
        <w:rPr>
          <w:sz w:val="28"/>
          <w:szCs w:val="28"/>
        </w:rPr>
      </w:pPr>
      <w:r w:rsidRPr="00F25C3D">
        <w:rPr>
          <w:sz w:val="28"/>
          <w:szCs w:val="28"/>
        </w:rPr>
        <w:t xml:space="preserve">Dña. </w:t>
      </w:r>
      <w:proofErr w:type="spellStart"/>
      <w:r w:rsidRPr="00F25C3D">
        <w:rPr>
          <w:sz w:val="28"/>
          <w:szCs w:val="28"/>
        </w:rPr>
        <w:t>Mª</w:t>
      </w:r>
      <w:proofErr w:type="spellEnd"/>
      <w:r w:rsidRPr="00F25C3D">
        <w:rPr>
          <w:sz w:val="28"/>
          <w:szCs w:val="28"/>
        </w:rPr>
        <w:t xml:space="preserve"> CARMEN ROYO JIMÉNEZ</w:t>
      </w:r>
    </w:p>
    <w:p w14:paraId="44CD8004" w14:textId="77777777" w:rsidR="00586625" w:rsidRPr="00F25C3D" w:rsidRDefault="00586625" w:rsidP="00AD7182">
      <w:pPr>
        <w:pStyle w:val="SinSangrado"/>
        <w:spacing w:line="360" w:lineRule="auto"/>
        <w:rPr>
          <w:b/>
          <w:bCs/>
          <w:sz w:val="28"/>
          <w:szCs w:val="28"/>
        </w:rPr>
      </w:pPr>
      <w:r w:rsidRPr="00F25C3D">
        <w:rPr>
          <w:b/>
          <w:bCs/>
          <w:sz w:val="28"/>
          <w:szCs w:val="28"/>
        </w:rPr>
        <w:t>I</w:t>
      </w:r>
      <w:r w:rsidR="00484441" w:rsidRPr="00F25C3D">
        <w:rPr>
          <w:b/>
          <w:bCs/>
          <w:sz w:val="28"/>
          <w:szCs w:val="28"/>
        </w:rPr>
        <w:t>LMOS/</w:t>
      </w:r>
      <w:proofErr w:type="gramStart"/>
      <w:r w:rsidR="00484441" w:rsidRPr="00F25C3D">
        <w:rPr>
          <w:b/>
          <w:bCs/>
          <w:sz w:val="28"/>
          <w:szCs w:val="28"/>
        </w:rPr>
        <w:t>AS  SRES</w:t>
      </w:r>
      <w:proofErr w:type="gramEnd"/>
      <w:r w:rsidRPr="00F25C3D">
        <w:rPr>
          <w:b/>
          <w:bCs/>
          <w:sz w:val="28"/>
          <w:szCs w:val="28"/>
        </w:rPr>
        <w:t>/SRAS.  MAGISTRADOS/AS:</w:t>
      </w:r>
    </w:p>
    <w:p w14:paraId="1AB4E50F" w14:textId="77777777" w:rsidR="00586625" w:rsidRPr="00F25C3D" w:rsidRDefault="00586625" w:rsidP="00AD7182">
      <w:pPr>
        <w:tabs>
          <w:tab w:val="right" w:pos="8958"/>
        </w:tabs>
        <w:spacing w:line="360" w:lineRule="auto"/>
        <w:rPr>
          <w:sz w:val="28"/>
          <w:szCs w:val="28"/>
        </w:rPr>
      </w:pPr>
      <w:r w:rsidRPr="00F25C3D">
        <w:rPr>
          <w:sz w:val="28"/>
          <w:szCs w:val="28"/>
        </w:rPr>
        <w:t>Dña. MIRIAM IGLESIAS GARCÍA-VILLAR</w:t>
      </w:r>
    </w:p>
    <w:p w14:paraId="28C42E7E" w14:textId="77777777" w:rsidR="00586625" w:rsidRPr="00F25C3D" w:rsidRDefault="00484441" w:rsidP="00AD7182">
      <w:pPr>
        <w:tabs>
          <w:tab w:val="right" w:pos="8958"/>
        </w:tabs>
        <w:spacing w:line="360" w:lineRule="auto"/>
        <w:rPr>
          <w:sz w:val="28"/>
          <w:szCs w:val="28"/>
        </w:rPr>
      </w:pPr>
      <w:r w:rsidRPr="00F25C3D">
        <w:rPr>
          <w:sz w:val="28"/>
          <w:szCs w:val="28"/>
        </w:rPr>
        <w:t>D</w:t>
      </w:r>
      <w:r w:rsidR="00586625" w:rsidRPr="00F25C3D">
        <w:rPr>
          <w:sz w:val="28"/>
          <w:szCs w:val="28"/>
        </w:rPr>
        <w:t>. LUIS PUENTE DE PINEDO</w:t>
      </w:r>
      <w:r w:rsidR="00586625" w:rsidRPr="00F25C3D">
        <w:rPr>
          <w:sz w:val="28"/>
          <w:szCs w:val="28"/>
        </w:rPr>
        <w:tab/>
      </w:r>
    </w:p>
    <w:p w14:paraId="09385A8A" w14:textId="77777777" w:rsidR="00586625" w:rsidRPr="00F25C3D" w:rsidRDefault="00586625" w:rsidP="00AD7182">
      <w:pPr>
        <w:tabs>
          <w:tab w:val="right" w:pos="8958"/>
        </w:tabs>
        <w:spacing w:line="360" w:lineRule="auto"/>
        <w:rPr>
          <w:sz w:val="28"/>
          <w:szCs w:val="28"/>
        </w:rPr>
      </w:pPr>
      <w:r w:rsidRPr="00F25C3D">
        <w:rPr>
          <w:sz w:val="28"/>
          <w:szCs w:val="28"/>
        </w:rPr>
        <w:tab/>
      </w:r>
    </w:p>
    <w:p w14:paraId="51F60D8A" w14:textId="55A4184F" w:rsidR="00484441" w:rsidRPr="00F25C3D" w:rsidRDefault="00586625" w:rsidP="00AD7182">
      <w:pPr>
        <w:spacing w:line="360" w:lineRule="auto"/>
        <w:ind w:right="-1" w:firstLine="708"/>
        <w:rPr>
          <w:sz w:val="28"/>
          <w:szCs w:val="28"/>
        </w:rPr>
      </w:pPr>
      <w:r w:rsidRPr="00F25C3D">
        <w:rPr>
          <w:sz w:val="28"/>
          <w:szCs w:val="28"/>
        </w:rPr>
        <w:t>En Madrid, a cator</w:t>
      </w:r>
      <w:r w:rsidR="00484441" w:rsidRPr="00F25C3D">
        <w:rPr>
          <w:sz w:val="28"/>
          <w:szCs w:val="28"/>
        </w:rPr>
        <w:t>ce de febrero de dos mil veinte</w:t>
      </w:r>
      <w:r w:rsidRPr="00F25C3D">
        <w:rPr>
          <w:sz w:val="28"/>
          <w:szCs w:val="28"/>
        </w:rPr>
        <w:t>.</w:t>
      </w:r>
      <w:r w:rsidR="00484441" w:rsidRPr="00F25C3D">
        <w:rPr>
          <w:snapToGrid w:val="0"/>
          <w:color w:val="000000"/>
          <w:sz w:val="28"/>
          <w:szCs w:val="28"/>
        </w:rPr>
        <w:t xml:space="preserve"> La Sección Decimotercera de la Audiencia Provincial de Madrid, compuesta por los Señores Magistrados expresados al margen, ha visto en grado de apelación los autos de Juicio ordinario sobre nulidad por vicio de consentimiento de orden de suscripción de acciones, procedentes del Juzgado de 1ª Instancia </w:t>
      </w:r>
      <w:proofErr w:type="spellStart"/>
      <w:r w:rsidR="00484441" w:rsidRPr="00F25C3D">
        <w:rPr>
          <w:snapToGrid w:val="0"/>
          <w:color w:val="000000"/>
          <w:sz w:val="28"/>
          <w:szCs w:val="28"/>
        </w:rPr>
        <w:t>nº</w:t>
      </w:r>
      <w:proofErr w:type="spellEnd"/>
      <w:r w:rsidR="00484441" w:rsidRPr="00F25C3D">
        <w:rPr>
          <w:snapToGrid w:val="0"/>
          <w:color w:val="000000"/>
          <w:sz w:val="28"/>
          <w:szCs w:val="28"/>
        </w:rPr>
        <w:t xml:space="preserve"> 4 de Móstoles, seguidos entre partes, de una, como demandante-apelado representado por la Procuradora Dª. CAYETANA DE ZULUETA LUCHSINGER</w:t>
      </w:r>
      <w:r w:rsidR="0052754F" w:rsidRPr="00F25C3D">
        <w:rPr>
          <w:snapToGrid w:val="0"/>
          <w:color w:val="000000"/>
          <w:sz w:val="28"/>
          <w:szCs w:val="28"/>
        </w:rPr>
        <w:t xml:space="preserve"> y asistido del Letrado D. JOSHUA GARCÍA ALBERCA, y de </w:t>
      </w:r>
      <w:r w:rsidR="0052754F" w:rsidRPr="00F25C3D">
        <w:rPr>
          <w:snapToGrid w:val="0"/>
          <w:color w:val="000000"/>
          <w:sz w:val="28"/>
          <w:szCs w:val="28"/>
        </w:rPr>
        <w:lastRenderedPageBreak/>
        <w:t xml:space="preserve">otra, como demandado-apelante BANCO DE SANTANDER </w:t>
      </w:r>
      <w:proofErr w:type="gramStart"/>
      <w:r w:rsidR="0052754F" w:rsidRPr="00F25C3D">
        <w:rPr>
          <w:snapToGrid w:val="0"/>
          <w:color w:val="000000"/>
          <w:sz w:val="28"/>
          <w:szCs w:val="28"/>
        </w:rPr>
        <w:t xml:space="preserve">S.A </w:t>
      </w:r>
      <w:r w:rsidR="00484441" w:rsidRPr="00F25C3D">
        <w:rPr>
          <w:snapToGrid w:val="0"/>
          <w:color w:val="000000"/>
          <w:sz w:val="28"/>
          <w:szCs w:val="28"/>
        </w:rPr>
        <w:t xml:space="preserve"> rep</w:t>
      </w:r>
      <w:r w:rsidR="0052754F" w:rsidRPr="00F25C3D">
        <w:rPr>
          <w:snapToGrid w:val="0"/>
          <w:color w:val="000000"/>
          <w:sz w:val="28"/>
          <w:szCs w:val="28"/>
        </w:rPr>
        <w:t>resentado</w:t>
      </w:r>
      <w:proofErr w:type="gramEnd"/>
      <w:r w:rsidR="0052754F" w:rsidRPr="00F25C3D">
        <w:rPr>
          <w:snapToGrid w:val="0"/>
          <w:color w:val="000000"/>
          <w:sz w:val="28"/>
          <w:szCs w:val="28"/>
        </w:rPr>
        <w:t xml:space="preserve"> por el Procurador </w:t>
      </w:r>
    </w:p>
    <w:p w14:paraId="677243D1" w14:textId="77777777" w:rsidR="00484441" w:rsidRPr="00F25C3D" w:rsidRDefault="00484441" w:rsidP="00AD7182">
      <w:pPr>
        <w:spacing w:line="360" w:lineRule="auto"/>
        <w:ind w:firstLine="708"/>
        <w:rPr>
          <w:b/>
          <w:bCs/>
          <w:snapToGrid w:val="0"/>
          <w:color w:val="000000"/>
          <w:sz w:val="28"/>
          <w:szCs w:val="28"/>
        </w:rPr>
      </w:pPr>
    </w:p>
    <w:p w14:paraId="25A09D37" w14:textId="77777777" w:rsidR="00484441" w:rsidRPr="00F25C3D" w:rsidRDefault="00484441" w:rsidP="00AD7182">
      <w:pPr>
        <w:tabs>
          <w:tab w:val="right" w:pos="8958"/>
        </w:tabs>
        <w:spacing w:line="360" w:lineRule="auto"/>
        <w:ind w:firstLine="851"/>
        <w:rPr>
          <w:b/>
          <w:sz w:val="28"/>
          <w:szCs w:val="28"/>
        </w:rPr>
      </w:pPr>
      <w:r w:rsidRPr="00F25C3D">
        <w:rPr>
          <w:sz w:val="28"/>
          <w:szCs w:val="28"/>
        </w:rPr>
        <w:t xml:space="preserve">VISTO, Siendo Magistrado Ponente </w:t>
      </w:r>
      <w:r w:rsidRPr="00F25C3D">
        <w:rPr>
          <w:b/>
          <w:sz w:val="28"/>
          <w:szCs w:val="28"/>
        </w:rPr>
        <w:t>D. LUIS PUENTE DE PINEDO</w:t>
      </w:r>
    </w:p>
    <w:p w14:paraId="1DBC1D3A" w14:textId="77777777" w:rsidR="00484441" w:rsidRPr="00F25C3D" w:rsidRDefault="00484441" w:rsidP="00AD7182">
      <w:pPr>
        <w:spacing w:line="360" w:lineRule="auto"/>
        <w:jc w:val="center"/>
        <w:rPr>
          <w:b/>
          <w:sz w:val="28"/>
          <w:szCs w:val="28"/>
        </w:rPr>
      </w:pPr>
    </w:p>
    <w:p w14:paraId="54B9F02B" w14:textId="77777777" w:rsidR="00484441" w:rsidRPr="00F25C3D" w:rsidRDefault="00484441" w:rsidP="00AD7182">
      <w:pPr>
        <w:spacing w:line="360" w:lineRule="auto"/>
        <w:rPr>
          <w:b/>
          <w:bCs/>
          <w:snapToGrid w:val="0"/>
          <w:color w:val="000000"/>
          <w:sz w:val="28"/>
          <w:szCs w:val="28"/>
        </w:rPr>
      </w:pPr>
    </w:p>
    <w:p w14:paraId="7C3F8100" w14:textId="77777777" w:rsidR="00484441" w:rsidRPr="00F25C3D" w:rsidRDefault="00484441" w:rsidP="00AD7182">
      <w:pPr>
        <w:spacing w:line="360" w:lineRule="auto"/>
        <w:ind w:firstLine="708"/>
        <w:jc w:val="center"/>
        <w:rPr>
          <w:b/>
          <w:bCs/>
          <w:snapToGrid w:val="0"/>
          <w:color w:val="000000"/>
          <w:sz w:val="28"/>
          <w:szCs w:val="28"/>
        </w:rPr>
      </w:pPr>
      <w:r w:rsidRPr="00F25C3D">
        <w:rPr>
          <w:b/>
          <w:bCs/>
          <w:snapToGrid w:val="0"/>
          <w:color w:val="000000"/>
          <w:sz w:val="28"/>
          <w:szCs w:val="28"/>
        </w:rPr>
        <w:t>ANTECEDENTES DE HECHO</w:t>
      </w:r>
    </w:p>
    <w:p w14:paraId="2B44E5F8" w14:textId="77777777" w:rsidR="00484441" w:rsidRPr="00F25C3D" w:rsidRDefault="00484441" w:rsidP="00AD7182">
      <w:pPr>
        <w:spacing w:line="360" w:lineRule="auto"/>
        <w:rPr>
          <w:b/>
          <w:bCs/>
          <w:snapToGrid w:val="0"/>
          <w:color w:val="000000"/>
          <w:sz w:val="28"/>
          <w:szCs w:val="28"/>
        </w:rPr>
      </w:pPr>
    </w:p>
    <w:p w14:paraId="0D37366F" w14:textId="1345785A" w:rsidR="00484441" w:rsidRPr="00F25C3D" w:rsidRDefault="00484441" w:rsidP="00F87B01">
      <w:pPr>
        <w:autoSpaceDE w:val="0"/>
        <w:autoSpaceDN w:val="0"/>
        <w:adjustRightInd w:val="0"/>
        <w:spacing w:line="360" w:lineRule="auto"/>
        <w:rPr>
          <w:i/>
          <w:sz w:val="28"/>
          <w:szCs w:val="28"/>
          <w:lang w:eastAsia="es-ES"/>
        </w:rPr>
      </w:pPr>
      <w:r w:rsidRPr="00F25C3D">
        <w:rPr>
          <w:b/>
          <w:bCs/>
          <w:snapToGrid w:val="0"/>
          <w:color w:val="000000"/>
          <w:sz w:val="28"/>
          <w:szCs w:val="28"/>
        </w:rPr>
        <w:t xml:space="preserve">PRIMERO.- </w:t>
      </w:r>
      <w:r w:rsidRPr="00F25C3D">
        <w:rPr>
          <w:snapToGrid w:val="0"/>
          <w:color w:val="000000"/>
          <w:sz w:val="28"/>
          <w:szCs w:val="28"/>
        </w:rPr>
        <w:t>Por el J</w:t>
      </w:r>
      <w:r w:rsidR="0052754F" w:rsidRPr="00F25C3D">
        <w:rPr>
          <w:snapToGrid w:val="0"/>
          <w:color w:val="000000"/>
          <w:sz w:val="28"/>
          <w:szCs w:val="28"/>
        </w:rPr>
        <w:t>u</w:t>
      </w:r>
      <w:r w:rsidR="00AD7182" w:rsidRPr="00F25C3D">
        <w:rPr>
          <w:snapToGrid w:val="0"/>
          <w:color w:val="000000"/>
          <w:sz w:val="28"/>
          <w:szCs w:val="28"/>
        </w:rPr>
        <w:t xml:space="preserve">zgado de Primera Instancia </w:t>
      </w:r>
      <w:proofErr w:type="spellStart"/>
      <w:r w:rsidR="00AD7182" w:rsidRPr="00F25C3D">
        <w:rPr>
          <w:snapToGrid w:val="0"/>
          <w:color w:val="000000"/>
          <w:sz w:val="28"/>
          <w:szCs w:val="28"/>
        </w:rPr>
        <w:t>nº</w:t>
      </w:r>
      <w:proofErr w:type="spellEnd"/>
      <w:r w:rsidR="00AD7182" w:rsidRPr="00F25C3D">
        <w:rPr>
          <w:snapToGrid w:val="0"/>
          <w:color w:val="000000"/>
          <w:sz w:val="28"/>
          <w:szCs w:val="28"/>
        </w:rPr>
        <w:t xml:space="preserve"> 4</w:t>
      </w:r>
      <w:r w:rsidR="00F87B01" w:rsidRPr="00F25C3D">
        <w:rPr>
          <w:snapToGrid w:val="0"/>
          <w:color w:val="000000"/>
          <w:sz w:val="28"/>
          <w:szCs w:val="28"/>
        </w:rPr>
        <w:t>, de Móstoles</w:t>
      </w:r>
      <w:r w:rsidR="0052754F" w:rsidRPr="00F25C3D">
        <w:rPr>
          <w:snapToGrid w:val="0"/>
          <w:color w:val="000000"/>
          <w:sz w:val="28"/>
          <w:szCs w:val="28"/>
        </w:rPr>
        <w:t xml:space="preserve">, en fecha  27 de mayo de 2019,  se dictó sentencia </w:t>
      </w:r>
      <w:r w:rsidRPr="00F25C3D">
        <w:rPr>
          <w:snapToGrid w:val="0"/>
          <w:color w:val="000000"/>
          <w:sz w:val="28"/>
          <w:szCs w:val="28"/>
        </w:rPr>
        <w:t>, cuya parte dispositiva es</w:t>
      </w:r>
      <w:r w:rsidR="0052754F" w:rsidRPr="00F25C3D">
        <w:rPr>
          <w:snapToGrid w:val="0"/>
          <w:color w:val="000000"/>
          <w:sz w:val="28"/>
          <w:szCs w:val="28"/>
        </w:rPr>
        <w:t xml:space="preserve"> del tenor literal siguiente: "  </w:t>
      </w:r>
      <w:r w:rsidR="00F87B01" w:rsidRPr="00F25C3D">
        <w:rPr>
          <w:i/>
          <w:sz w:val="28"/>
          <w:szCs w:val="28"/>
          <w:lang w:eastAsia="es-ES"/>
        </w:rPr>
        <w:t>Que estimando la demanda formulada por la representación de, contra BANCOSANTANDER S.A., debo declarar y declaro la nulidad –ANULABILIDAD- de la orden de suscripción de acciones de BANCO POPULAR ESPAÑOL S.A. de fecha 20 de junio de 2016, por importe de 8.320 euros, así como de la orden de adquisición de los derechos de suscripción de fecha 7 de junio de 2016 por importe de 1.526,78 euros, que está ligado a la adquisición de acciones descritas; condenando a BANCO SANTANDER, S.A. (entidad absorbente de BANCO POPULAR ESPANOL, S.A.) a estar y pasar por dicha declaración, y a la restitución recíproca de las prestaciones, y en consecuencia al pago devolución a la actora de la cantidad invertida de 9.846,78 euros, con los intereses legales desde la fecha de la inversión y, el actor, por su parte, que devuelva, en su caso, las acciones suscritas, así los rendimientos obtenidos, también con sus intereses; así como al abono de las costas procesales.</w:t>
      </w:r>
      <w:r w:rsidR="0052754F" w:rsidRPr="00F25C3D">
        <w:rPr>
          <w:i/>
          <w:snapToGrid w:val="0"/>
          <w:color w:val="000000"/>
          <w:sz w:val="28"/>
          <w:szCs w:val="28"/>
        </w:rPr>
        <w:t xml:space="preserve"> </w:t>
      </w:r>
      <w:r w:rsidRPr="00F25C3D">
        <w:rPr>
          <w:i/>
          <w:snapToGrid w:val="0"/>
          <w:color w:val="000000"/>
          <w:sz w:val="28"/>
          <w:szCs w:val="28"/>
        </w:rPr>
        <w:t>".</w:t>
      </w:r>
    </w:p>
    <w:p w14:paraId="1A3003EA" w14:textId="77777777" w:rsidR="00484441" w:rsidRPr="00F25C3D" w:rsidRDefault="00484441" w:rsidP="00AD7182">
      <w:pPr>
        <w:spacing w:line="360" w:lineRule="auto"/>
        <w:ind w:left="810"/>
        <w:rPr>
          <w:snapToGrid w:val="0"/>
          <w:color w:val="000000"/>
          <w:sz w:val="28"/>
          <w:szCs w:val="28"/>
        </w:rPr>
      </w:pPr>
    </w:p>
    <w:p w14:paraId="3F12D557" w14:textId="77777777" w:rsidR="00484441" w:rsidRPr="00F25C3D" w:rsidRDefault="00484441" w:rsidP="00AD7182">
      <w:pPr>
        <w:spacing w:line="360" w:lineRule="auto"/>
        <w:ind w:firstLine="708"/>
        <w:rPr>
          <w:snapToGrid w:val="0"/>
          <w:color w:val="000000"/>
          <w:sz w:val="28"/>
          <w:szCs w:val="28"/>
        </w:rPr>
      </w:pPr>
      <w:proofErr w:type="gramStart"/>
      <w:r w:rsidRPr="00F25C3D">
        <w:rPr>
          <w:b/>
          <w:bCs/>
          <w:snapToGrid w:val="0"/>
          <w:color w:val="000000"/>
          <w:sz w:val="28"/>
          <w:szCs w:val="28"/>
        </w:rPr>
        <w:t>SEGUNDO.-</w:t>
      </w:r>
      <w:proofErr w:type="gramEnd"/>
      <w:r w:rsidRPr="00F25C3D">
        <w:rPr>
          <w:snapToGrid w:val="0"/>
          <w:color w:val="000000"/>
          <w:sz w:val="28"/>
          <w:szCs w:val="28"/>
        </w:rPr>
        <w:t xml:space="preserve"> Contra la anterior resolución se interpuso rec</w:t>
      </w:r>
      <w:r w:rsidR="0052754F" w:rsidRPr="00F25C3D">
        <w:rPr>
          <w:snapToGrid w:val="0"/>
          <w:color w:val="000000"/>
          <w:sz w:val="28"/>
          <w:szCs w:val="28"/>
        </w:rPr>
        <w:t>urso de apelación por la parte demandada</w:t>
      </w:r>
      <w:r w:rsidRPr="00F25C3D">
        <w:rPr>
          <w:snapToGrid w:val="0"/>
          <w:color w:val="000000"/>
          <w:sz w:val="28"/>
          <w:szCs w:val="28"/>
        </w:rPr>
        <w:t xml:space="preserve">, que fue admitido, del cual se dio traslado a </w:t>
      </w:r>
      <w:r w:rsidRPr="00F25C3D">
        <w:rPr>
          <w:snapToGrid w:val="0"/>
          <w:color w:val="000000"/>
          <w:sz w:val="28"/>
          <w:szCs w:val="28"/>
        </w:rPr>
        <w:lastRenderedPageBreak/>
        <w:t xml:space="preserve">la parte apelada, elevándose los autos ante esta Sección en fecha </w:t>
      </w:r>
      <w:r w:rsidR="0052754F" w:rsidRPr="00F25C3D">
        <w:rPr>
          <w:b/>
          <w:bCs/>
          <w:snapToGrid w:val="0"/>
          <w:color w:val="000000"/>
          <w:sz w:val="28"/>
          <w:szCs w:val="28"/>
        </w:rPr>
        <w:t xml:space="preserve"> 30 de julio de 2019</w:t>
      </w:r>
      <w:r w:rsidRPr="00F25C3D">
        <w:rPr>
          <w:snapToGrid w:val="0"/>
          <w:color w:val="000000"/>
          <w:sz w:val="28"/>
          <w:szCs w:val="28"/>
        </w:rPr>
        <w:t>, para resolver el recurso.</w:t>
      </w:r>
    </w:p>
    <w:p w14:paraId="508F4053" w14:textId="77777777" w:rsidR="00484441" w:rsidRPr="00F25C3D" w:rsidRDefault="00484441" w:rsidP="00AD7182">
      <w:pPr>
        <w:spacing w:line="360" w:lineRule="auto"/>
        <w:ind w:left="810"/>
        <w:rPr>
          <w:snapToGrid w:val="0"/>
          <w:color w:val="000000"/>
          <w:sz w:val="28"/>
          <w:szCs w:val="28"/>
        </w:rPr>
      </w:pPr>
    </w:p>
    <w:p w14:paraId="22A38233" w14:textId="77777777" w:rsidR="00F87B01" w:rsidRPr="00F25C3D" w:rsidRDefault="00F87B01" w:rsidP="00AD7182">
      <w:pPr>
        <w:spacing w:line="360" w:lineRule="auto"/>
        <w:ind w:left="810"/>
        <w:rPr>
          <w:snapToGrid w:val="0"/>
          <w:color w:val="000000"/>
          <w:sz w:val="28"/>
          <w:szCs w:val="28"/>
        </w:rPr>
      </w:pPr>
    </w:p>
    <w:p w14:paraId="75C6B464" w14:textId="77777777" w:rsidR="00484441" w:rsidRPr="00F25C3D" w:rsidRDefault="00484441" w:rsidP="00AD7182">
      <w:pPr>
        <w:spacing w:line="360" w:lineRule="auto"/>
        <w:ind w:firstLine="708"/>
        <w:rPr>
          <w:snapToGrid w:val="0"/>
          <w:color w:val="000000"/>
          <w:sz w:val="28"/>
          <w:szCs w:val="28"/>
        </w:rPr>
      </w:pPr>
      <w:proofErr w:type="gramStart"/>
      <w:r w:rsidRPr="00F25C3D">
        <w:rPr>
          <w:b/>
          <w:bCs/>
          <w:snapToGrid w:val="0"/>
          <w:color w:val="000000"/>
          <w:sz w:val="28"/>
          <w:szCs w:val="28"/>
        </w:rPr>
        <w:t>TERCERO.-</w:t>
      </w:r>
      <w:proofErr w:type="gramEnd"/>
      <w:r w:rsidRPr="00F25C3D">
        <w:rPr>
          <w:snapToGrid w:val="0"/>
          <w:color w:val="000000"/>
          <w:sz w:val="28"/>
          <w:szCs w:val="28"/>
        </w:rPr>
        <w:t xml:space="preserve"> Recibidos los autos en esta Sección, se formó el oportuno Rollo turnándose su conocimiento, a tenor de la norma preestablecida en esta Sección de reparto de Ponencias, y conforme dispone la Ley de Enjuiciamiento Civil, quedó pendiente para la correspondiente </w:t>
      </w:r>
      <w:r w:rsidRPr="00F25C3D">
        <w:rPr>
          <w:b/>
          <w:bCs/>
          <w:snapToGrid w:val="0"/>
          <w:color w:val="000000"/>
          <w:sz w:val="28"/>
          <w:szCs w:val="28"/>
        </w:rPr>
        <w:t>DELIBERACIÓN, VOTACIÓN Y FALLO</w:t>
      </w:r>
      <w:r w:rsidRPr="00F25C3D">
        <w:rPr>
          <w:snapToGrid w:val="0"/>
          <w:color w:val="000000"/>
          <w:sz w:val="28"/>
          <w:szCs w:val="28"/>
        </w:rPr>
        <w:t xml:space="preserve">, la cual tuvo lugar, previo señalamiento, el día </w:t>
      </w:r>
      <w:r w:rsidR="0052754F" w:rsidRPr="00F25C3D">
        <w:rPr>
          <w:b/>
          <w:bCs/>
          <w:snapToGrid w:val="0"/>
          <w:color w:val="000000"/>
          <w:sz w:val="28"/>
          <w:szCs w:val="28"/>
        </w:rPr>
        <w:t>12 de febrero de 2020</w:t>
      </w:r>
      <w:r w:rsidRPr="00F25C3D">
        <w:rPr>
          <w:snapToGrid w:val="0"/>
          <w:color w:val="000000"/>
          <w:sz w:val="28"/>
          <w:szCs w:val="28"/>
        </w:rPr>
        <w:t>.</w:t>
      </w:r>
    </w:p>
    <w:p w14:paraId="630366AC" w14:textId="77777777" w:rsidR="00484441" w:rsidRPr="00F25C3D" w:rsidRDefault="00484441" w:rsidP="00AD7182">
      <w:pPr>
        <w:spacing w:line="360" w:lineRule="auto"/>
        <w:ind w:firstLine="708"/>
        <w:rPr>
          <w:snapToGrid w:val="0"/>
          <w:color w:val="000000"/>
          <w:sz w:val="28"/>
          <w:szCs w:val="28"/>
        </w:rPr>
      </w:pPr>
    </w:p>
    <w:p w14:paraId="1486C88D" w14:textId="77777777" w:rsidR="00F87B01" w:rsidRPr="00F25C3D" w:rsidRDefault="00F87B01" w:rsidP="00AD7182">
      <w:pPr>
        <w:spacing w:line="360" w:lineRule="auto"/>
        <w:ind w:firstLine="708"/>
        <w:rPr>
          <w:snapToGrid w:val="0"/>
          <w:color w:val="000000"/>
          <w:sz w:val="28"/>
          <w:szCs w:val="28"/>
        </w:rPr>
      </w:pPr>
    </w:p>
    <w:p w14:paraId="11C88A90" w14:textId="77777777" w:rsidR="00484441" w:rsidRPr="00F25C3D" w:rsidRDefault="00484441" w:rsidP="00AD7182">
      <w:pPr>
        <w:spacing w:line="360" w:lineRule="auto"/>
        <w:ind w:firstLine="708"/>
        <w:rPr>
          <w:snapToGrid w:val="0"/>
          <w:color w:val="000000"/>
          <w:sz w:val="28"/>
          <w:szCs w:val="28"/>
        </w:rPr>
      </w:pPr>
      <w:proofErr w:type="gramStart"/>
      <w:r w:rsidRPr="00F25C3D">
        <w:rPr>
          <w:b/>
          <w:snapToGrid w:val="0"/>
          <w:color w:val="000000"/>
          <w:sz w:val="28"/>
          <w:szCs w:val="28"/>
        </w:rPr>
        <w:t>CUARTO.-</w:t>
      </w:r>
      <w:proofErr w:type="gramEnd"/>
      <w:r w:rsidRPr="00F25C3D">
        <w:rPr>
          <w:b/>
          <w:snapToGrid w:val="0"/>
          <w:color w:val="000000"/>
          <w:sz w:val="28"/>
          <w:szCs w:val="28"/>
        </w:rPr>
        <w:t xml:space="preserve"> </w:t>
      </w:r>
      <w:r w:rsidRPr="00F25C3D">
        <w:rPr>
          <w:snapToGrid w:val="0"/>
          <w:color w:val="000000"/>
          <w:sz w:val="28"/>
          <w:szCs w:val="28"/>
        </w:rPr>
        <w:t>En la tramitación del presente recurso se han observado todas las disposiciones legales.</w:t>
      </w:r>
    </w:p>
    <w:p w14:paraId="557878C6" w14:textId="77777777" w:rsidR="002163C7" w:rsidRPr="00F25C3D" w:rsidRDefault="002163C7" w:rsidP="00AD7182">
      <w:pPr>
        <w:spacing w:line="360" w:lineRule="auto"/>
        <w:rPr>
          <w:sz w:val="28"/>
          <w:szCs w:val="28"/>
        </w:rPr>
      </w:pPr>
    </w:p>
    <w:p w14:paraId="09BE2231" w14:textId="77777777" w:rsidR="002163C7" w:rsidRPr="00F25C3D" w:rsidRDefault="002163C7" w:rsidP="00AD7182">
      <w:pPr>
        <w:tabs>
          <w:tab w:val="right" w:pos="8958"/>
        </w:tabs>
        <w:spacing w:line="360" w:lineRule="auto"/>
        <w:ind w:firstLine="851"/>
        <w:rPr>
          <w:b/>
          <w:sz w:val="28"/>
          <w:szCs w:val="28"/>
        </w:rPr>
      </w:pPr>
      <w:r w:rsidRPr="00F25C3D">
        <w:rPr>
          <w:sz w:val="28"/>
          <w:szCs w:val="28"/>
        </w:rPr>
        <w:t xml:space="preserve">VISTO, Siendo Magistrado Ponente </w:t>
      </w:r>
      <w:r w:rsidR="00484441" w:rsidRPr="00F25C3D">
        <w:rPr>
          <w:b/>
          <w:sz w:val="28"/>
          <w:szCs w:val="28"/>
        </w:rPr>
        <w:t>D</w:t>
      </w:r>
      <w:r w:rsidRPr="00F25C3D">
        <w:rPr>
          <w:b/>
          <w:sz w:val="28"/>
          <w:szCs w:val="28"/>
        </w:rPr>
        <w:t>. LUIS PUENTE DE PINEDO</w:t>
      </w:r>
    </w:p>
    <w:p w14:paraId="5E32789B" w14:textId="77777777" w:rsidR="0052754F" w:rsidRPr="00F25C3D" w:rsidRDefault="0052754F" w:rsidP="00AD7182">
      <w:pPr>
        <w:spacing w:line="360" w:lineRule="auto"/>
        <w:rPr>
          <w:b/>
          <w:sz w:val="28"/>
          <w:szCs w:val="28"/>
        </w:rPr>
      </w:pPr>
    </w:p>
    <w:p w14:paraId="5149C519" w14:textId="77777777" w:rsidR="00AD7182" w:rsidRPr="00F25C3D" w:rsidRDefault="00AD7182" w:rsidP="00AD7182">
      <w:pPr>
        <w:spacing w:line="360" w:lineRule="auto"/>
        <w:rPr>
          <w:b/>
          <w:sz w:val="28"/>
          <w:szCs w:val="28"/>
        </w:rPr>
      </w:pPr>
    </w:p>
    <w:p w14:paraId="161B346A" w14:textId="77777777" w:rsidR="00484441" w:rsidRPr="00F25C3D" w:rsidRDefault="00484441" w:rsidP="00AD7182">
      <w:pPr>
        <w:spacing w:line="360" w:lineRule="auto"/>
        <w:jc w:val="center"/>
        <w:rPr>
          <w:b/>
          <w:sz w:val="28"/>
          <w:szCs w:val="28"/>
        </w:rPr>
      </w:pPr>
      <w:r w:rsidRPr="00F25C3D">
        <w:rPr>
          <w:b/>
          <w:sz w:val="28"/>
          <w:szCs w:val="28"/>
        </w:rPr>
        <w:t>FUNDAMENTOS DE DERECHO</w:t>
      </w:r>
    </w:p>
    <w:p w14:paraId="2CB6824D" w14:textId="77777777" w:rsidR="0052754F" w:rsidRPr="00F25C3D" w:rsidRDefault="0052754F" w:rsidP="00AD7182">
      <w:pPr>
        <w:spacing w:line="360" w:lineRule="auto"/>
        <w:jc w:val="center"/>
        <w:rPr>
          <w:b/>
          <w:sz w:val="28"/>
          <w:szCs w:val="28"/>
        </w:rPr>
      </w:pPr>
    </w:p>
    <w:p w14:paraId="70B19BDC" w14:textId="77777777" w:rsidR="00484441" w:rsidRPr="00F25C3D" w:rsidRDefault="00484441" w:rsidP="00AD7182">
      <w:pPr>
        <w:spacing w:line="360" w:lineRule="auto"/>
        <w:rPr>
          <w:sz w:val="28"/>
          <w:szCs w:val="28"/>
        </w:rPr>
      </w:pPr>
    </w:p>
    <w:p w14:paraId="68B54998" w14:textId="77777777" w:rsidR="00484441" w:rsidRPr="00F25C3D" w:rsidRDefault="00484441" w:rsidP="00AD7182">
      <w:pPr>
        <w:spacing w:line="360" w:lineRule="auto"/>
        <w:ind w:firstLine="708"/>
        <w:rPr>
          <w:bCs/>
          <w:sz w:val="28"/>
          <w:szCs w:val="28"/>
        </w:rPr>
      </w:pPr>
      <w:proofErr w:type="gramStart"/>
      <w:r w:rsidRPr="00F25C3D">
        <w:rPr>
          <w:b/>
          <w:sz w:val="28"/>
          <w:szCs w:val="28"/>
        </w:rPr>
        <w:t>PRIMERO.-</w:t>
      </w:r>
      <w:proofErr w:type="gramEnd"/>
      <w:r w:rsidRPr="00F25C3D">
        <w:rPr>
          <w:b/>
          <w:sz w:val="28"/>
          <w:szCs w:val="28"/>
        </w:rPr>
        <w:t xml:space="preserve"> Planteamiento y antecedentes</w:t>
      </w:r>
      <w:r w:rsidRPr="00F25C3D">
        <w:rPr>
          <w:bCs/>
          <w:sz w:val="28"/>
          <w:szCs w:val="28"/>
        </w:rPr>
        <w:t xml:space="preserve">. D. Juan de Dios Colmenero Castillo interpuso demanda de juicio ordinario contra el Banco de Santander, S.A. ejercitando, en primer lugar, la acción de nulidad el contrato de adquisición de acciones del Banco Popular, S.A., por dolo o error en el consentimiento y, de forma subsidiaria, la acción de daños y perjuicios, conforme a lo establecido en los artículos 38 y 124 de la Ley del Mercado de </w:t>
      </w:r>
      <w:r w:rsidRPr="00F25C3D">
        <w:rPr>
          <w:bCs/>
          <w:sz w:val="28"/>
          <w:szCs w:val="28"/>
        </w:rPr>
        <w:lastRenderedPageBreak/>
        <w:t>Valores y, finalmente, y también de forma subsidiaria, la acción de daños y perjuicios al amparo del artículo 1101 del Código Civil.</w:t>
      </w:r>
    </w:p>
    <w:p w14:paraId="0DD54408" w14:textId="77777777" w:rsidR="00484441" w:rsidRPr="00F25C3D" w:rsidRDefault="00484441" w:rsidP="00AD7182">
      <w:pPr>
        <w:spacing w:line="360" w:lineRule="auto"/>
        <w:ind w:firstLine="708"/>
        <w:rPr>
          <w:bCs/>
          <w:sz w:val="28"/>
          <w:szCs w:val="28"/>
        </w:rPr>
      </w:pPr>
      <w:r w:rsidRPr="00F25C3D">
        <w:rPr>
          <w:bCs/>
          <w:sz w:val="28"/>
          <w:szCs w:val="28"/>
        </w:rPr>
        <w:t>El escrito de demanda señalaba que el 7 de junio de 2016 se procedió a la compra de derechos del Banco Popular, S.A., por un importe de 1526,78 €, procediéndose a la suscripción de acciones del Banco Popular tras la ampliación de capital el 20 de junio de 2016 por un importe de 8320 €. En el momento de verificarse la suscripción no se hizo referencia alguna a las dificultades económicas que estaba atravesando esa entidad, ni a las divergencias entre la información que se facilitó al mercado y la que era ya conocida de forma interna. Como consecuencia de todo ello, se interesó con carácter principal la declaración de nulidad por vicio del consentimiento o dolo de las suscripciones de 20 de junio de 2016 y 7 de junio de 2016, debiendo reintegrarse al demandante un total de 9846,78 €, más los intereses correspondientes, ejercitándose de forma subsidiaria la acción de resarcimiento por incumplimiento de los deberes establecidos en la Ley de Mercado de Valores reclamando la misma cantidad, o el incumplimiento de las obligaciones contractuales establecidas y al amparo del artículo 1101 del Código Civil.</w:t>
      </w:r>
    </w:p>
    <w:p w14:paraId="499FAB64" w14:textId="77777777" w:rsidR="00484441" w:rsidRPr="00F25C3D" w:rsidRDefault="00484441" w:rsidP="00AD7182">
      <w:pPr>
        <w:spacing w:line="360" w:lineRule="auto"/>
        <w:rPr>
          <w:bCs/>
          <w:sz w:val="28"/>
          <w:szCs w:val="28"/>
        </w:rPr>
      </w:pPr>
      <w:r w:rsidRPr="00F25C3D">
        <w:rPr>
          <w:bCs/>
          <w:sz w:val="28"/>
          <w:szCs w:val="28"/>
        </w:rPr>
        <w:t>Admitida a trámite la demanda, se emplazó a la parte demandada que alegó con carácter previo la falta de legitimación pasiva de la entidad en la compra de los derechos de suscripción preferente y las acciones de la ampliación, pues se adquirieron de un tercero. En cuanto a la cuestión de fondo se negó que hubiese existido una actuación dolosa ocultando información sobre el estado financiero de la entidad, considerando que la información facilitada era veraz, sin que se hubiese producido incumplimiento alguno de la normativa aplicable, por lo que se interesó la desestimación de la demanda con condena en costas para la parte actora.</w:t>
      </w:r>
    </w:p>
    <w:p w14:paraId="0D7EF5EB" w14:textId="77777777" w:rsidR="00484441" w:rsidRPr="00F25C3D" w:rsidRDefault="00484441" w:rsidP="00AD7182">
      <w:pPr>
        <w:spacing w:line="360" w:lineRule="auto"/>
        <w:ind w:firstLine="708"/>
        <w:rPr>
          <w:bCs/>
          <w:sz w:val="28"/>
          <w:szCs w:val="28"/>
        </w:rPr>
      </w:pPr>
      <w:r w:rsidRPr="00F25C3D">
        <w:rPr>
          <w:bCs/>
          <w:sz w:val="28"/>
          <w:szCs w:val="28"/>
        </w:rPr>
        <w:t xml:space="preserve">Seguidos los pertinentes trámites ante el Juzgado de Primera Instancia número 4 de Móstoles se dictó sentencia el 27 de mayo de 2019 declarando la </w:t>
      </w:r>
      <w:r w:rsidRPr="00F25C3D">
        <w:rPr>
          <w:bCs/>
          <w:sz w:val="28"/>
          <w:szCs w:val="28"/>
        </w:rPr>
        <w:lastRenderedPageBreak/>
        <w:t>nulidad o anulabilidad de la orden de suscripción de 20 de junio de 2016 por un importe de 8320 €, así como de la orden de adquisición de los derechos de suscripción de 7 de junio de 2016 por un importe de 1526,78 €, ligado a la adquisición de las acciones descritas, condenando a la entidad demandada al pago de 9846,78 € al tener que proceder a la restitución de la suma invertida.</w:t>
      </w:r>
    </w:p>
    <w:p w14:paraId="5AAD0300" w14:textId="77777777" w:rsidR="00F87B01" w:rsidRPr="00F25C3D" w:rsidRDefault="00F87B01" w:rsidP="00F87B01">
      <w:pPr>
        <w:spacing w:line="360" w:lineRule="auto"/>
        <w:rPr>
          <w:b/>
          <w:sz w:val="28"/>
          <w:szCs w:val="28"/>
        </w:rPr>
      </w:pPr>
    </w:p>
    <w:p w14:paraId="3A58ED8B" w14:textId="77777777" w:rsidR="00902AEF" w:rsidRPr="00F25C3D" w:rsidRDefault="00902AEF" w:rsidP="00F87B01">
      <w:pPr>
        <w:spacing w:line="360" w:lineRule="auto"/>
        <w:rPr>
          <w:b/>
          <w:sz w:val="28"/>
          <w:szCs w:val="28"/>
        </w:rPr>
      </w:pPr>
    </w:p>
    <w:p w14:paraId="009DBF79" w14:textId="77777777" w:rsidR="00484441" w:rsidRPr="00F25C3D" w:rsidRDefault="00484441" w:rsidP="00AD7182">
      <w:pPr>
        <w:spacing w:line="360" w:lineRule="auto"/>
        <w:ind w:firstLine="708"/>
        <w:rPr>
          <w:bCs/>
          <w:sz w:val="28"/>
          <w:szCs w:val="28"/>
        </w:rPr>
      </w:pPr>
      <w:proofErr w:type="gramStart"/>
      <w:r w:rsidRPr="00F25C3D">
        <w:rPr>
          <w:b/>
          <w:sz w:val="28"/>
          <w:szCs w:val="28"/>
        </w:rPr>
        <w:t>SEGUNDO.-</w:t>
      </w:r>
      <w:proofErr w:type="gramEnd"/>
      <w:r w:rsidRPr="00F25C3D">
        <w:rPr>
          <w:b/>
          <w:sz w:val="28"/>
          <w:szCs w:val="28"/>
        </w:rPr>
        <w:t xml:space="preserve"> Recurso de apelación</w:t>
      </w:r>
      <w:r w:rsidRPr="00F25C3D">
        <w:rPr>
          <w:bCs/>
          <w:sz w:val="28"/>
          <w:szCs w:val="28"/>
        </w:rPr>
        <w:t xml:space="preserve">. Por el Banco de Santander, S.A. se interpuso recurso de apelación alegando, en primer lugar, la falta de legitimación pasiva de la entidad en la compra de los derechos de suscripción preferente. En tal sentido se señalaba que la acción ejercitada se refería a dos contratos distintos, siendo el primero de adquisición de derechos de suscripción preferente de 7 de junio de 2016 por un importe de 1526,78 €. Se afirmaba que la compra de los derechos de adquisición preferente y la posterior de acciones se verificó con un tercero y, por tanto, siendo de naturaleza contractual la acción ejercitada no podía en ningún caso prosperar. En segundo lugar, se </w:t>
      </w:r>
      <w:proofErr w:type="gramStart"/>
      <w:r w:rsidRPr="00F25C3D">
        <w:rPr>
          <w:bCs/>
          <w:sz w:val="28"/>
          <w:szCs w:val="28"/>
        </w:rPr>
        <w:t>alegó  error</w:t>
      </w:r>
      <w:proofErr w:type="gramEnd"/>
      <w:r w:rsidRPr="00F25C3D">
        <w:rPr>
          <w:bCs/>
          <w:sz w:val="28"/>
          <w:szCs w:val="28"/>
        </w:rPr>
        <w:t xml:space="preserve"> de valoración de prueba afirmando que la información financiera facilitada por la entidad Banco Popular era correcta en relación a la situación económica de la entidad en el momento de la ampliación de capital en el año 2016. En ese mismo sentido se invocó la incorrecta valoración de la prueba pericial practicada y, más concretamente, del informe pericial presentado por la parte demandante, del que erróneamente se extrae la misma conclusión en el sentido de que la situación que la entidad no se correspondía con la que se informó cuando se llevó a cabo la ampliación de capital. Como consecuencia de todo ello, y con cita en la jurisprudencia existente en casos semejantes, se interesó la revocación de la resolución dictada en primera instancia y la total desestimación de la demanda con condena en costas para la parte actora.</w:t>
      </w:r>
    </w:p>
    <w:p w14:paraId="3EC72D7E" w14:textId="77777777" w:rsidR="00484441" w:rsidRPr="00F25C3D" w:rsidRDefault="00484441" w:rsidP="00AD7182">
      <w:pPr>
        <w:spacing w:line="360" w:lineRule="auto"/>
        <w:rPr>
          <w:bCs/>
          <w:sz w:val="28"/>
          <w:szCs w:val="28"/>
        </w:rPr>
      </w:pPr>
      <w:bookmarkStart w:id="2" w:name="_Hlk31904536"/>
      <w:r w:rsidRPr="00F25C3D">
        <w:rPr>
          <w:bCs/>
          <w:sz w:val="28"/>
          <w:szCs w:val="28"/>
        </w:rPr>
        <w:lastRenderedPageBreak/>
        <w:t>Admitido a trámite el recurso de apelación interpuesto, se dio traslado del mismo a la parte apelada que dentro del plazo concedido presentó escrito de alegaciones en el que interesó la confirmación de la resolución dictada en primera instancia.</w:t>
      </w:r>
    </w:p>
    <w:p w14:paraId="7A291EE0" w14:textId="77777777" w:rsidR="00F87B01" w:rsidRPr="00F25C3D" w:rsidRDefault="00F87B01" w:rsidP="00AD7182">
      <w:pPr>
        <w:spacing w:line="360" w:lineRule="auto"/>
        <w:rPr>
          <w:bCs/>
          <w:sz w:val="28"/>
          <w:szCs w:val="28"/>
        </w:rPr>
      </w:pPr>
    </w:p>
    <w:p w14:paraId="16927675" w14:textId="77777777" w:rsidR="00902AEF" w:rsidRPr="00F25C3D" w:rsidRDefault="00902AEF" w:rsidP="00AD7182">
      <w:pPr>
        <w:spacing w:line="360" w:lineRule="auto"/>
        <w:rPr>
          <w:bCs/>
          <w:sz w:val="28"/>
          <w:szCs w:val="28"/>
        </w:rPr>
      </w:pPr>
    </w:p>
    <w:bookmarkEnd w:id="2"/>
    <w:p w14:paraId="0BD71C62" w14:textId="77777777" w:rsidR="00484441" w:rsidRPr="00F25C3D" w:rsidRDefault="00484441" w:rsidP="00AD7182">
      <w:pPr>
        <w:spacing w:line="360" w:lineRule="auto"/>
        <w:ind w:firstLine="708"/>
        <w:rPr>
          <w:bCs/>
          <w:sz w:val="28"/>
          <w:szCs w:val="28"/>
        </w:rPr>
      </w:pPr>
      <w:proofErr w:type="gramStart"/>
      <w:r w:rsidRPr="00F25C3D">
        <w:rPr>
          <w:b/>
          <w:sz w:val="28"/>
          <w:szCs w:val="28"/>
        </w:rPr>
        <w:t>TERCERO.-</w:t>
      </w:r>
      <w:proofErr w:type="gramEnd"/>
      <w:r w:rsidRPr="00F25C3D">
        <w:rPr>
          <w:bCs/>
          <w:sz w:val="28"/>
          <w:szCs w:val="28"/>
        </w:rPr>
        <w:t xml:space="preserve">  </w:t>
      </w:r>
      <w:r w:rsidRPr="00F25C3D">
        <w:rPr>
          <w:b/>
          <w:sz w:val="28"/>
          <w:szCs w:val="28"/>
        </w:rPr>
        <w:t>Falta de legitimación pasiva de la entidad financiera demandada</w:t>
      </w:r>
      <w:r w:rsidRPr="00F25C3D">
        <w:rPr>
          <w:bCs/>
          <w:sz w:val="28"/>
          <w:szCs w:val="28"/>
        </w:rPr>
        <w:t xml:space="preserve">. El primer motivo de recurso alegado por la parte apelante se centró en reiterar el planteamiento de la falta de legitimación pasiva de esa entidad en la compra de los derechos de suscripción preferente. Se remitía en este sentido al escrito de contestación a la demanda destacando que para la adquisición de las acciones en la ampliación de capital de 2016 la actora había acudido al mercado secundario, es decir, que adquirió de un tercero las acciones de la ampliación. Con ese planteamiento, la acción de anulabilidad tiene una naturaleza contractual de modo que se entendía que respecto de la misma en ningún caso podría prosperar respecto de la entidad financiera demandada. </w:t>
      </w:r>
    </w:p>
    <w:p w14:paraId="56687FB7" w14:textId="77777777" w:rsidR="00484441" w:rsidRPr="00F25C3D" w:rsidRDefault="00484441" w:rsidP="00AD7182">
      <w:pPr>
        <w:spacing w:line="360" w:lineRule="auto"/>
        <w:ind w:firstLine="708"/>
        <w:rPr>
          <w:bCs/>
          <w:sz w:val="28"/>
          <w:szCs w:val="28"/>
        </w:rPr>
      </w:pPr>
      <w:r w:rsidRPr="00F25C3D">
        <w:rPr>
          <w:bCs/>
          <w:sz w:val="28"/>
          <w:szCs w:val="28"/>
        </w:rPr>
        <w:t xml:space="preserve">En cuanto a este motivo de recurso la parte apelada basó su oposición, por un lado, en que esa excepción no fue analizada en la sentencia dictada en primera instancia, produciéndose una incongruencia omisiva que, sin embargo, no fue puesta de manifiesto por la parte apelante a través de la petición de aclaración o complemento correspondiente, de modo que quedaba imposibilitado el planteamiento de esa misma cuestión a través del recurso de apelación. En todo caso, se entendía que habría de aplicarse necesariamente la teoría de la ineficacia contractual propagada o en cadena, ya que el contrato de compra de los derechos de suscripción preferente de la ampliación estaría íntimamente ligado con el de suscripción de las acciones, siendo consecuencia </w:t>
      </w:r>
      <w:r w:rsidRPr="00F25C3D">
        <w:rPr>
          <w:bCs/>
          <w:sz w:val="28"/>
          <w:szCs w:val="28"/>
        </w:rPr>
        <w:lastRenderedPageBreak/>
        <w:t>directa del mismo, de forma que la ineficacia contractual de uno afectaría de manera directa al segundo.</w:t>
      </w:r>
    </w:p>
    <w:p w14:paraId="01F87E74" w14:textId="77777777" w:rsidR="00484441" w:rsidRPr="00F25C3D" w:rsidRDefault="00484441" w:rsidP="00AD7182">
      <w:pPr>
        <w:spacing w:line="360" w:lineRule="auto"/>
        <w:ind w:firstLine="708"/>
        <w:rPr>
          <w:bCs/>
          <w:sz w:val="28"/>
          <w:szCs w:val="28"/>
        </w:rPr>
      </w:pPr>
      <w:r w:rsidRPr="00F25C3D">
        <w:rPr>
          <w:bCs/>
          <w:sz w:val="28"/>
          <w:szCs w:val="28"/>
        </w:rPr>
        <w:t xml:space="preserve">Pues bien, en relación a la inadmisibilidad de este motivo de recurso alegada por la parte apelada hemos de tener en cuenta que una cosa es que la ausencia de una petición de complemento impida que se invoque una infracción procesal derivada de la incongruencia infra </w:t>
      </w:r>
      <w:proofErr w:type="spellStart"/>
      <w:r w:rsidRPr="00F25C3D">
        <w:rPr>
          <w:bCs/>
          <w:sz w:val="28"/>
          <w:szCs w:val="28"/>
        </w:rPr>
        <w:t>petita</w:t>
      </w:r>
      <w:proofErr w:type="spellEnd"/>
      <w:r w:rsidRPr="00F25C3D">
        <w:rPr>
          <w:bCs/>
          <w:sz w:val="28"/>
          <w:szCs w:val="28"/>
        </w:rPr>
        <w:t xml:space="preserve">, y otra bien distinta que en la sentencia exista un implícito pronunciamiento desestimatorio de la excepción susceptible de ser recurrido. En efecto, la omisión existente en la sentencia al no recoger una argumentación y un pronunciamiento expreso sobre la excepción de falta de legitimación pasiva ha de entenderse que implicaba una incongruencia infra </w:t>
      </w:r>
      <w:proofErr w:type="spellStart"/>
      <w:r w:rsidRPr="00F25C3D">
        <w:rPr>
          <w:bCs/>
          <w:sz w:val="28"/>
          <w:szCs w:val="28"/>
        </w:rPr>
        <w:t>petita</w:t>
      </w:r>
      <w:proofErr w:type="spellEnd"/>
      <w:r w:rsidRPr="00F25C3D">
        <w:rPr>
          <w:bCs/>
          <w:sz w:val="28"/>
          <w:szCs w:val="28"/>
        </w:rPr>
        <w:t xml:space="preserve"> en relación a los planteamientos de las partes, y, más concretamente, en cuanto a la falta de legitimación pasiva alegada por la entidad financiera demandada. No obstante, no es una infracción procesal o una alegación de incongruencia lo que se está suscitando en el recurso, sino que, ante la implícita desestimación de su excepción, puesto que la sentencia es íntegramente estimatoria, y lo expresado en su parte dispositiva respecto de la conexión entre las dos contrataciones, se plantea nuevamente en esta alzada por vía de recurso la existencia de una falta de legitimación pasiva derivada de la ausencia de contratación entre la entidad financiera y la parte demandante. En consecuencia, no existe obstáculo procesal alguno que impida el análisis de esa excepción en esta resolución.</w:t>
      </w:r>
    </w:p>
    <w:p w14:paraId="3517DBFE" w14:textId="77777777" w:rsidR="00484441" w:rsidRPr="00F25C3D" w:rsidRDefault="00484441" w:rsidP="00AD7182">
      <w:pPr>
        <w:spacing w:line="360" w:lineRule="auto"/>
        <w:ind w:firstLine="708"/>
        <w:rPr>
          <w:bCs/>
          <w:sz w:val="28"/>
          <w:szCs w:val="28"/>
        </w:rPr>
      </w:pPr>
      <w:r w:rsidRPr="00F25C3D">
        <w:rPr>
          <w:bCs/>
          <w:sz w:val="28"/>
          <w:szCs w:val="28"/>
        </w:rPr>
        <w:t>Centrados ya en la cuestión de fondo suscitada en este primer motivo de recurso, la parte demandada aporta diversas resoluciones que se fundamentan en la existencia de terceras entidades a través de las cuales se formalizó la operación, por lo que se suscita la cuestión de la falta de legitimación pasiva señalando que de la documentación aportada se desprendía la participación de esos terceros en la contratación.</w:t>
      </w:r>
    </w:p>
    <w:p w14:paraId="6F5F6D6C" w14:textId="77777777" w:rsidR="00484441" w:rsidRPr="00F25C3D" w:rsidRDefault="00484441" w:rsidP="00AD7182">
      <w:pPr>
        <w:spacing w:line="360" w:lineRule="auto"/>
        <w:ind w:firstLine="708"/>
        <w:rPr>
          <w:bCs/>
          <w:sz w:val="28"/>
          <w:szCs w:val="28"/>
        </w:rPr>
      </w:pPr>
      <w:r w:rsidRPr="00F25C3D">
        <w:rPr>
          <w:bCs/>
          <w:sz w:val="28"/>
          <w:szCs w:val="28"/>
        </w:rPr>
        <w:lastRenderedPageBreak/>
        <w:t xml:space="preserve">La parte demandante adjuntó como documento 1-D la orden de valores suscrita con el propio Banco Popular el día 7 de junio de 2016 (folio 58), documento coincidente con aportado como número 10 (folio 347) de la parte demandada. En ambos casos se observa que la orden emitida el 7 de junio de 2016 se formalizó a través de una oficina del Banco Popular para una compra en el mercado. El documento 1-E refleja los movimientos de la cuenta que en el propio Banco Popular tenía don Juan de Dios Colmenero Castillo, apareciendo un cargo de 1526,78 € por la compra de los derechos de adquisición preferente, siendo el centro de negociación el mercado continuo español y, por otro lado, la liquidación de operaciones de valores por un importe de 8320 €, de modo que queda acreditado que se trata de operaciones realizadas con terceros. </w:t>
      </w:r>
    </w:p>
    <w:p w14:paraId="3AF5CA63" w14:textId="77777777" w:rsidR="00484441" w:rsidRPr="00F25C3D" w:rsidRDefault="00484441" w:rsidP="00AD7182">
      <w:pPr>
        <w:spacing w:line="360" w:lineRule="auto"/>
        <w:ind w:firstLine="708"/>
        <w:rPr>
          <w:bCs/>
          <w:sz w:val="28"/>
          <w:szCs w:val="28"/>
        </w:rPr>
      </w:pPr>
      <w:r w:rsidRPr="00F25C3D">
        <w:rPr>
          <w:bCs/>
          <w:sz w:val="28"/>
          <w:szCs w:val="28"/>
        </w:rPr>
        <w:t xml:space="preserve">Siendo así, debe recordarse que, a los efectos de la legitimación pasiva en los supuestos de compra de productos en el mercado secundario, el propio Tribunal Supremo ha fijado doctrina en el sentido de diferenciar precisamente las operaciones que se consideraban complejas en las cuales hacía una interpretación extensiva de la legitimación pasiva, de aquellas otras que no lo eran, como la compra de acciones, en las que la legitimación pasiva no podía ser reconocida cuando se interesaba la nulidad a la entidad que hacía de mero intermediario para verificar la compra en ese mercado secundario o mercado oficial. </w:t>
      </w:r>
    </w:p>
    <w:p w14:paraId="0261FF13" w14:textId="77777777" w:rsidR="00484441" w:rsidRPr="00F25C3D" w:rsidRDefault="00484441" w:rsidP="00AD7182">
      <w:pPr>
        <w:spacing w:line="360" w:lineRule="auto"/>
        <w:rPr>
          <w:bCs/>
          <w:sz w:val="28"/>
          <w:szCs w:val="28"/>
        </w:rPr>
      </w:pPr>
      <w:r w:rsidRPr="00F25C3D">
        <w:rPr>
          <w:bCs/>
          <w:sz w:val="28"/>
          <w:szCs w:val="28"/>
        </w:rPr>
        <w:t xml:space="preserve">En este sentido, la sentencia del Pleno del Tribunal Supremo de 27 de junio de 2019, aun refiriéndose a otra entidad </w:t>
      </w:r>
      <w:proofErr w:type="gramStart"/>
      <w:r w:rsidRPr="00F25C3D">
        <w:rPr>
          <w:bCs/>
          <w:sz w:val="28"/>
          <w:szCs w:val="28"/>
        </w:rPr>
        <w:t>financiera,  fijó</w:t>
      </w:r>
      <w:proofErr w:type="gramEnd"/>
      <w:r w:rsidRPr="00F25C3D">
        <w:rPr>
          <w:bCs/>
          <w:sz w:val="28"/>
          <w:szCs w:val="28"/>
        </w:rPr>
        <w:t xml:space="preserve"> doctrina recogiendo al respecto los criterios siguientes:</w:t>
      </w:r>
    </w:p>
    <w:p w14:paraId="04833DD8" w14:textId="77777777" w:rsidR="00484441" w:rsidRPr="00F25C3D" w:rsidRDefault="00484441" w:rsidP="00AD7182">
      <w:pPr>
        <w:spacing w:line="360" w:lineRule="auto"/>
        <w:ind w:firstLine="708"/>
        <w:rPr>
          <w:bCs/>
          <w:sz w:val="28"/>
          <w:szCs w:val="28"/>
        </w:rPr>
      </w:pPr>
      <w:r w:rsidRPr="00F25C3D">
        <w:rPr>
          <w:bCs/>
          <w:sz w:val="28"/>
          <w:szCs w:val="28"/>
        </w:rPr>
        <w:t xml:space="preserve">1.- “Las operaciones de compraventa bursátil son negocios jurídicos complejos que incluyen distintas figuras contractuales: unas órdenes cruzadas de compra y venta y unos contratos yuxtapuestos de comisión mercantil, en los que aparte del comprador y vendedor intervienen como intermediarias (una por parte del vendedor y otra por cuenta del comprador) unas agencias de valores, </w:t>
      </w:r>
      <w:r w:rsidRPr="00F25C3D">
        <w:rPr>
          <w:bCs/>
          <w:sz w:val="28"/>
          <w:szCs w:val="28"/>
        </w:rPr>
        <w:lastRenderedPageBreak/>
        <w:t>unas sociedades de valores o unas entidades bancarias (en general, Empresas de Servicios de Inversión, ESI).</w:t>
      </w:r>
    </w:p>
    <w:p w14:paraId="39E834F4" w14:textId="77777777" w:rsidR="00484441" w:rsidRPr="00F25C3D" w:rsidRDefault="00484441" w:rsidP="00AD7182">
      <w:pPr>
        <w:spacing w:line="360" w:lineRule="auto"/>
        <w:rPr>
          <w:bCs/>
          <w:sz w:val="28"/>
          <w:szCs w:val="28"/>
        </w:rPr>
      </w:pPr>
      <w:r w:rsidRPr="00F25C3D">
        <w:rPr>
          <w:bCs/>
          <w:sz w:val="28"/>
          <w:szCs w:val="28"/>
        </w:rPr>
        <w:t>La compraventa de títulos en los mercados secundarios oficiales presenta características propias que la distinguen de las reguladas en el Código Civil. El objeto de este contrato -los valores negociables e instrumentos financieros- y su forma de representación, hacen que la compraventa en los mercados secundarios oficiales no consista en un contrato por el que el vendedor se obliga a entregar una cosa determinada a cambio de un precio. Se trata de un negocio por el que uno o varios intermediarios se obligan a realizar por orden de otro (el vendedor) las actuaciones necesarias para que los valores o instrumentos financieros existentes en el patrimonio de éste se transmitan al comprador a cambio del pago por éste de un precio”.</w:t>
      </w:r>
    </w:p>
    <w:p w14:paraId="1C4448EE" w14:textId="77777777" w:rsidR="00484441" w:rsidRPr="00F25C3D" w:rsidRDefault="00484441" w:rsidP="00AD7182">
      <w:pPr>
        <w:spacing w:line="360" w:lineRule="auto"/>
        <w:ind w:firstLine="708"/>
        <w:rPr>
          <w:bCs/>
          <w:sz w:val="28"/>
          <w:szCs w:val="28"/>
        </w:rPr>
      </w:pPr>
      <w:r w:rsidRPr="00F25C3D">
        <w:rPr>
          <w:bCs/>
          <w:sz w:val="28"/>
          <w:szCs w:val="28"/>
        </w:rPr>
        <w:t>2.- “El vendedor no entrega unas acciones al comprador, que le paga por ellas un precio, sino que interviene necesariamente un operador del mercado, se ejecuta una transferencia contable de las acciones anotadas en cuenta y un pago con intermediario, de acuerdo con una operativa de compensación y liquidación reglada. Las partes no entran en contacto, las ofertas y las demandas se introducen por un tercero en un sistema informático, en el que las operaciones son anónimas y se produce la compensación y liquidación de forma masificada y normalizada, según un procedimiento establecido reglamentariamente.</w:t>
      </w:r>
    </w:p>
    <w:p w14:paraId="02AE83EB" w14:textId="77777777" w:rsidR="00484441" w:rsidRPr="00F25C3D" w:rsidRDefault="00484441" w:rsidP="00AD7182">
      <w:pPr>
        <w:spacing w:line="360" w:lineRule="auto"/>
        <w:rPr>
          <w:bCs/>
          <w:sz w:val="28"/>
          <w:szCs w:val="28"/>
        </w:rPr>
      </w:pPr>
      <w:r w:rsidRPr="00F25C3D">
        <w:rPr>
          <w:bCs/>
          <w:sz w:val="28"/>
          <w:szCs w:val="28"/>
        </w:rPr>
        <w:t xml:space="preserve">Por ello, junto a las tradicionales partes del contrato de compraventa, vendedor y comprador, la normativa específica del mercado secundario oficial de la Bolsa de valores exige la intervención necesaria en la conclusión del contrato de un comisionista bursátil y después, en la ejecución, de una entidad de contrapartida central y de una entidad de liquidación. Pero ello no quiere decir que, a efectos obligacionales, tales entidades intermediaras y liquidadoras sean parte en el contrato de compraventa de las acciones, sino que dicho contrato </w:t>
      </w:r>
      <w:r w:rsidRPr="00F25C3D">
        <w:rPr>
          <w:bCs/>
          <w:sz w:val="28"/>
          <w:szCs w:val="28"/>
        </w:rPr>
        <w:lastRenderedPageBreak/>
        <w:t>debe realizarse con su intervención mediante la yuxtaposición de otras figuras jurídicas complementarias”.</w:t>
      </w:r>
    </w:p>
    <w:p w14:paraId="7C077D59" w14:textId="77777777" w:rsidR="00484441" w:rsidRPr="00F25C3D" w:rsidRDefault="00484441" w:rsidP="00AD7182">
      <w:pPr>
        <w:spacing w:line="360" w:lineRule="auto"/>
        <w:ind w:firstLine="708"/>
        <w:rPr>
          <w:bCs/>
          <w:sz w:val="28"/>
          <w:szCs w:val="28"/>
        </w:rPr>
      </w:pPr>
      <w:r w:rsidRPr="00F25C3D">
        <w:rPr>
          <w:bCs/>
          <w:sz w:val="28"/>
          <w:szCs w:val="28"/>
        </w:rPr>
        <w:t>3.- “El art. 10.1 LEC dispone que serán considerados partes legítimas quienes comparezcan y actúen en juicio como titulares de la relación jurídica u objeto litigioso.</w:t>
      </w:r>
    </w:p>
    <w:p w14:paraId="4660BB44" w14:textId="77777777" w:rsidR="00484441" w:rsidRPr="00F25C3D" w:rsidRDefault="00484441" w:rsidP="00AD7182">
      <w:pPr>
        <w:spacing w:line="360" w:lineRule="auto"/>
        <w:rPr>
          <w:bCs/>
          <w:sz w:val="28"/>
          <w:szCs w:val="28"/>
        </w:rPr>
      </w:pPr>
      <w:r w:rsidRPr="00F25C3D">
        <w:rPr>
          <w:bCs/>
          <w:sz w:val="28"/>
          <w:szCs w:val="28"/>
        </w:rPr>
        <w:t xml:space="preserve">En las acciones de nulidad relativa o anulabilidad, la legitimación pasiva les corresponde a todos quienes hubieran sido parte en el contrato impugnado y no sean demandantes, y a quienes sean titulares de derechos derivados del contrato </w:t>
      </w:r>
      <w:proofErr w:type="gramStart"/>
      <w:r w:rsidRPr="00F25C3D">
        <w:rPr>
          <w:bCs/>
          <w:sz w:val="28"/>
          <w:szCs w:val="28"/>
        </w:rPr>
        <w:t>( arts.</w:t>
      </w:r>
      <w:proofErr w:type="gramEnd"/>
      <w:r w:rsidRPr="00F25C3D">
        <w:rPr>
          <w:bCs/>
          <w:sz w:val="28"/>
          <w:szCs w:val="28"/>
        </w:rPr>
        <w:t xml:space="preserve"> 1257 y 1302 CC ).</w:t>
      </w:r>
    </w:p>
    <w:p w14:paraId="07FCFAE5" w14:textId="77777777" w:rsidR="00484441" w:rsidRPr="00F25C3D" w:rsidRDefault="00484441" w:rsidP="00AD7182">
      <w:pPr>
        <w:spacing w:line="360" w:lineRule="auto"/>
        <w:rPr>
          <w:bCs/>
          <w:sz w:val="28"/>
          <w:szCs w:val="28"/>
        </w:rPr>
      </w:pPr>
      <w:r w:rsidRPr="00F25C3D">
        <w:rPr>
          <w:bCs/>
          <w:sz w:val="28"/>
          <w:szCs w:val="28"/>
        </w:rPr>
        <w:t xml:space="preserve">Por lo que, respecto de la relación jurídica nacida de un contrato de compraventa, frente al ejercicio por el comprador de la acción de anulabilidad por haber prestado su consentimiento viciado por error, la legitimación pasiva no le corresponde más que el vendedor y no a quien ha actuado como intermediario o comisionista en nombre ajeno. Recuérdese que el art. 247 </w:t>
      </w:r>
      <w:proofErr w:type="gramStart"/>
      <w:r w:rsidRPr="00F25C3D">
        <w:rPr>
          <w:bCs/>
          <w:sz w:val="28"/>
          <w:szCs w:val="28"/>
        </w:rPr>
        <w:t>C</w:t>
      </w:r>
      <w:r w:rsidR="00AD7182" w:rsidRPr="00F25C3D">
        <w:rPr>
          <w:bCs/>
          <w:sz w:val="28"/>
          <w:szCs w:val="28"/>
        </w:rPr>
        <w:t>.Com</w:t>
      </w:r>
      <w:proofErr w:type="gramEnd"/>
      <w:r w:rsidRPr="00F25C3D">
        <w:rPr>
          <w:bCs/>
          <w:sz w:val="28"/>
          <w:szCs w:val="28"/>
        </w:rPr>
        <w:t xml:space="preserve"> establece que cuando el comisionista no contrate en nombre propio, las relaciones jurídicas se producirán directamente entre el comitente (</w:t>
      </w:r>
      <w:proofErr w:type="spellStart"/>
      <w:r w:rsidRPr="00F25C3D">
        <w:rPr>
          <w:bCs/>
          <w:sz w:val="28"/>
          <w:szCs w:val="28"/>
        </w:rPr>
        <w:t>Alforpe</w:t>
      </w:r>
      <w:proofErr w:type="spellEnd"/>
      <w:r w:rsidRPr="00F25C3D">
        <w:rPr>
          <w:bCs/>
          <w:sz w:val="28"/>
          <w:szCs w:val="28"/>
        </w:rPr>
        <w:t>) y la persona que haya contratado con el comisionista (el tercero que vendió sus acciones en la bolsa), quedando al margen el comisionista”.</w:t>
      </w:r>
    </w:p>
    <w:p w14:paraId="0F31D8D8" w14:textId="77777777" w:rsidR="00484441" w:rsidRPr="00F25C3D" w:rsidRDefault="00484441" w:rsidP="00AD7182">
      <w:pPr>
        <w:spacing w:line="360" w:lineRule="auto"/>
        <w:ind w:firstLine="708"/>
        <w:rPr>
          <w:bCs/>
          <w:sz w:val="28"/>
          <w:szCs w:val="28"/>
        </w:rPr>
      </w:pPr>
      <w:r w:rsidRPr="00F25C3D">
        <w:rPr>
          <w:bCs/>
          <w:sz w:val="28"/>
          <w:szCs w:val="28"/>
        </w:rPr>
        <w:t xml:space="preserve">4.- “Este tribunal, en diversas sentencias, ha flexibilizado este requisito de la legitimación pasiva en acciones de anulabilidad por error vicio del consentimiento, al reconocérsela a las entidades financieras que han comercializado entre sus clientes productos de inversión (por ejemplo, sentencias 769/2014, de 12 enero de </w:t>
      </w:r>
      <w:proofErr w:type="gramStart"/>
      <w:r w:rsidRPr="00F25C3D">
        <w:rPr>
          <w:bCs/>
          <w:sz w:val="28"/>
          <w:szCs w:val="28"/>
        </w:rPr>
        <w:t>2015 ;</w:t>
      </w:r>
      <w:proofErr w:type="gramEnd"/>
      <w:r w:rsidRPr="00F25C3D">
        <w:rPr>
          <w:bCs/>
          <w:sz w:val="28"/>
          <w:szCs w:val="28"/>
        </w:rPr>
        <w:t xml:space="preserve"> 625/2016, de 24 de octubre ; 718/2016, de 1 de diciembre ; 477/2017, de 20 de juli</w:t>
      </w:r>
      <w:r w:rsidR="0052754F" w:rsidRPr="00F25C3D">
        <w:rPr>
          <w:bCs/>
          <w:sz w:val="28"/>
          <w:szCs w:val="28"/>
        </w:rPr>
        <w:t xml:space="preserve">o ; y 10/2019, de 11 de enero). </w:t>
      </w:r>
      <w:r w:rsidRPr="00F25C3D">
        <w:rPr>
          <w:bCs/>
          <w:sz w:val="28"/>
          <w:szCs w:val="28"/>
        </w:rPr>
        <w:t xml:space="preserve">Pero, aparte de que dicha jurisprudencia se ha aplicado a productos financieros complejos, entre los que no se encuentra la compraventa de acciones que cotizan en bolsa, la razón por la que hemos reconocido en estos casos legitimación pasiva al banco intermediario ha sido que el negocio no </w:t>
      </w:r>
      <w:r w:rsidRPr="00F25C3D">
        <w:rPr>
          <w:bCs/>
          <w:sz w:val="28"/>
          <w:szCs w:val="28"/>
        </w:rPr>
        <w:lastRenderedPageBreak/>
        <w:t>funciona realmente como una intermediación por parte de la empresa de inversión entre el cliente comprador y el emisor del producto de inversión o el anterior titular que transmite -como sí sucede en la compraventa bursátil de acciones cotizadas-, sino como una compraventa entre la empresa de inversión y su cliente, que tiene por objeto un producto financiero que la empresa de inversión se encarga de obtener directamente del emisor o de un anterior titular y, al transmitirla a su cliente, obtiene un beneficio que se asemeja más al margen del distribuidor que a la comisión del agente”.</w:t>
      </w:r>
    </w:p>
    <w:p w14:paraId="06588C0C" w14:textId="77777777" w:rsidR="00484441" w:rsidRPr="00F25C3D" w:rsidRDefault="00484441" w:rsidP="00AD7182">
      <w:pPr>
        <w:spacing w:line="360" w:lineRule="auto"/>
        <w:ind w:firstLine="708"/>
        <w:rPr>
          <w:bCs/>
          <w:sz w:val="28"/>
          <w:szCs w:val="28"/>
        </w:rPr>
      </w:pPr>
      <w:r w:rsidRPr="00F25C3D">
        <w:rPr>
          <w:bCs/>
          <w:sz w:val="28"/>
          <w:szCs w:val="28"/>
        </w:rPr>
        <w:t>5.- “En este caso, en la demanda se pretende la nulidad de la compra de las acciones en el mercado secundario, no del contrato de intermediación (…) (en su calidad de ESI), que sería una modalidad de comisión mercantil.</w:t>
      </w:r>
    </w:p>
    <w:p w14:paraId="0E0156F8" w14:textId="77777777" w:rsidR="00484441" w:rsidRPr="00F25C3D" w:rsidRDefault="00484441" w:rsidP="00AD7182">
      <w:pPr>
        <w:spacing w:line="360" w:lineRule="auto"/>
        <w:ind w:firstLine="708"/>
        <w:rPr>
          <w:bCs/>
          <w:sz w:val="28"/>
          <w:szCs w:val="28"/>
        </w:rPr>
      </w:pPr>
      <w:r w:rsidRPr="00F25C3D">
        <w:rPr>
          <w:bCs/>
          <w:sz w:val="28"/>
          <w:szCs w:val="28"/>
        </w:rPr>
        <w:t>Bankia no vendió las acciones, porque no se trató (en lo que atañe al recurso de casación) de una venta como consecuencia de una oferta de la propia entidad (OPS), o en el mercado primario, sino de una venta en el mercado secundario (bolsa) en la que (…) compró las acciones a un tercero, del que se desconoce cómo las había adquirido a su vez. Bankia prestó (…) el servicio de inversión previsto en el art. 63.1. a) de la Ley del Mercado de Valores (LMV), esto es "la recepción y transmisión de órdenes por cuenta de terceros", servicio reservado para entidades específicamente autorizadas para ello (las ESI), en virtud de lo dispuesto en los arts. 64 y 65 de la misma Ley”.</w:t>
      </w:r>
    </w:p>
    <w:p w14:paraId="64721AD1" w14:textId="77777777" w:rsidR="00484441" w:rsidRPr="00F25C3D" w:rsidRDefault="00484441" w:rsidP="00AD7182">
      <w:pPr>
        <w:spacing w:line="360" w:lineRule="auto"/>
        <w:ind w:firstLine="708"/>
        <w:rPr>
          <w:bCs/>
          <w:sz w:val="28"/>
          <w:szCs w:val="28"/>
        </w:rPr>
      </w:pPr>
      <w:r w:rsidRPr="00F25C3D">
        <w:rPr>
          <w:bCs/>
          <w:sz w:val="28"/>
          <w:szCs w:val="28"/>
        </w:rPr>
        <w:t>6.- “Bankia tendría legitimación pasiva si se hubiera instado la nulidad del contrato de comisión (…), pero no en el de adquisición de las acciones. E incluso en el caso de que se hubiera instado la nulidad de la operación bursátil en su totalidad (el conjunto de compraventa y comisiones de compra y venta), habría también un defecto de constitución de la relación jurídico-procesal en su lado pasivo, pues debería haberse demandado también al vendedor de las acciones.</w:t>
      </w:r>
    </w:p>
    <w:p w14:paraId="087BC302" w14:textId="77777777" w:rsidR="00484441" w:rsidRPr="00F25C3D" w:rsidRDefault="00484441" w:rsidP="00AD7182">
      <w:pPr>
        <w:spacing w:line="360" w:lineRule="auto"/>
        <w:ind w:firstLine="708"/>
        <w:rPr>
          <w:bCs/>
          <w:sz w:val="28"/>
          <w:szCs w:val="28"/>
        </w:rPr>
      </w:pPr>
      <w:r w:rsidRPr="00F25C3D">
        <w:rPr>
          <w:bCs/>
          <w:sz w:val="28"/>
          <w:szCs w:val="28"/>
        </w:rPr>
        <w:lastRenderedPageBreak/>
        <w:t xml:space="preserve">Aun cuando se considerase que Bankia había incurrido en un defectuoso asesoramiento o que debía responder por la inexactitud del folleto, ya que las adquisiciones se realizaron dentro de su periodo de vigencia, tampoco tendría legitimación pasiva respecto de una acción de anulabilidad de la compra de acciones por error vicio del consentimiento, </w:t>
      </w:r>
      <w:proofErr w:type="gramStart"/>
      <w:r w:rsidRPr="00F25C3D">
        <w:rPr>
          <w:bCs/>
          <w:sz w:val="28"/>
          <w:szCs w:val="28"/>
        </w:rPr>
        <w:t>sino</w:t>
      </w:r>
      <w:proofErr w:type="gramEnd"/>
      <w:r w:rsidRPr="00F25C3D">
        <w:rPr>
          <w:bCs/>
          <w:sz w:val="28"/>
          <w:szCs w:val="28"/>
        </w:rPr>
        <w:t>, en su caso, en una acción de indemnización de daños y perjuicios”.</w:t>
      </w:r>
    </w:p>
    <w:p w14:paraId="0EF4D99A" w14:textId="77777777" w:rsidR="00484441" w:rsidRPr="00F25C3D" w:rsidRDefault="00484441" w:rsidP="00AD7182">
      <w:pPr>
        <w:spacing w:line="360" w:lineRule="auto"/>
        <w:rPr>
          <w:bCs/>
          <w:sz w:val="28"/>
          <w:szCs w:val="28"/>
        </w:rPr>
      </w:pPr>
      <w:r w:rsidRPr="00F25C3D">
        <w:rPr>
          <w:bCs/>
          <w:sz w:val="28"/>
          <w:szCs w:val="28"/>
        </w:rPr>
        <w:t>De todo lo expuesto se desprende que la sentencia de primera instancia debió rechazar la legitimación pasiva de la entidad demandada, puesto que contra ella se ejercitó la acción de nulidad, pese a que se había efectuado la compra a través del mercado secundario, sin tener en cuenta que esta no actuó como vendedora en esa compraventa de acciones, sino como mera intermediaria en la misma, sin que se haya tampoco formulado alegación alguna respecto de la posible nulidad de ese contrato de intermediación, como se destacaba en la mencionada sentencia del Tribunal Supremo, sino que el error recayó sobre la el propio objeto de la adquisición, es decir, sobre las acciones adquiridas y esencialmente sobre la situación económica y financiera de la entidad emisora. Por tanto, debe rechazarse la legitimación pasiva de la entidad financiera demandada respecto de la acción de anulabilidad y revocarse en este extremo la resolución dictada en primera instancia, tal y como este mismo tribunal manifestó ya en sentencia de 7 de junio de 2019.</w:t>
      </w:r>
    </w:p>
    <w:p w14:paraId="624CB36C" w14:textId="77777777" w:rsidR="009F37A7" w:rsidRPr="00F25C3D" w:rsidRDefault="00484441" w:rsidP="00F87B01">
      <w:pPr>
        <w:spacing w:line="360" w:lineRule="auto"/>
        <w:ind w:firstLine="708"/>
        <w:rPr>
          <w:bCs/>
          <w:sz w:val="28"/>
          <w:szCs w:val="28"/>
        </w:rPr>
      </w:pPr>
      <w:r w:rsidRPr="00F25C3D">
        <w:rPr>
          <w:bCs/>
          <w:sz w:val="28"/>
          <w:szCs w:val="28"/>
        </w:rPr>
        <w:t xml:space="preserve">No obstante, la demanda ejercitaba con carácter subsidiario la acción prevista en los artículos 38 y 124 de la LMV, reclamando los daños y perjuicios sufridos. Conforme al art. </w:t>
      </w:r>
      <w:proofErr w:type="gramStart"/>
      <w:r w:rsidRPr="00F25C3D">
        <w:rPr>
          <w:bCs/>
          <w:sz w:val="28"/>
          <w:szCs w:val="28"/>
        </w:rPr>
        <w:t>38.3  la</w:t>
      </w:r>
      <w:proofErr w:type="gramEnd"/>
      <w:r w:rsidRPr="00F25C3D">
        <w:rPr>
          <w:bCs/>
          <w:sz w:val="28"/>
          <w:szCs w:val="28"/>
        </w:rPr>
        <w:t xml:space="preserve"> entidad emisora será responsable de todos los daños y perjuicios que hubiesen ocasionado a los titulares de los valores adquiridos como consecuencia de las informaciones falsas o las omisiones de datos relevantes del folleto o del documento que en su caso deba elaborar el garante. La acción para exigir la responsabilidad prescribirá a los tres años desde que el reclamante hubiera podido tener conocimiento de la falsedad o de </w:t>
      </w:r>
      <w:r w:rsidRPr="00F25C3D">
        <w:rPr>
          <w:bCs/>
          <w:sz w:val="28"/>
          <w:szCs w:val="28"/>
        </w:rPr>
        <w:lastRenderedPageBreak/>
        <w:t>las omisiones en relación al contenido del folleto. Por su parte, el art. 124 establece la misma responsabilidad para los emisores por los daños que hubiesen ocasionado a los titulares de los valores como consecuencia de que la información no proporcione una imagen fiel del emisor. Así pues, las consideraciones recogidas en la sentencia de primera instancia como determinantes de la nulidad del contrato serán igualmente relevantes desde la perspectiva de esos preceptos, de modo que seguidamente habrá de revisarse la valoración de prueba con el fin de determinar si existió no un incumplimiento de esas obligaciones que determine la obligación de indemnizar a la parte demandante de conformidad con s</w:t>
      </w:r>
      <w:r w:rsidR="00F87B01" w:rsidRPr="00F25C3D">
        <w:rPr>
          <w:bCs/>
          <w:sz w:val="28"/>
          <w:szCs w:val="28"/>
        </w:rPr>
        <w:t>u primera petición subsidiaria.</w:t>
      </w:r>
    </w:p>
    <w:p w14:paraId="338C2534" w14:textId="77777777" w:rsidR="00F87B01" w:rsidRPr="00F25C3D" w:rsidRDefault="00F87B01" w:rsidP="00AD7182">
      <w:pPr>
        <w:spacing w:line="360" w:lineRule="auto"/>
        <w:ind w:firstLine="708"/>
        <w:rPr>
          <w:bCs/>
          <w:sz w:val="28"/>
          <w:szCs w:val="28"/>
        </w:rPr>
      </w:pPr>
    </w:p>
    <w:p w14:paraId="227C161B" w14:textId="77777777" w:rsidR="00F87B01" w:rsidRPr="00F25C3D" w:rsidRDefault="00F87B01" w:rsidP="00AD7182">
      <w:pPr>
        <w:spacing w:line="360" w:lineRule="auto"/>
        <w:ind w:firstLine="708"/>
        <w:rPr>
          <w:bCs/>
          <w:sz w:val="28"/>
          <w:szCs w:val="28"/>
        </w:rPr>
      </w:pPr>
    </w:p>
    <w:p w14:paraId="0D68D7F6" w14:textId="77777777" w:rsidR="00484441" w:rsidRPr="00F25C3D" w:rsidRDefault="00484441" w:rsidP="00AD7182">
      <w:pPr>
        <w:spacing w:line="360" w:lineRule="auto"/>
        <w:ind w:firstLine="708"/>
        <w:rPr>
          <w:bCs/>
          <w:sz w:val="28"/>
          <w:szCs w:val="28"/>
        </w:rPr>
      </w:pPr>
      <w:proofErr w:type="gramStart"/>
      <w:r w:rsidRPr="00F25C3D">
        <w:rPr>
          <w:b/>
          <w:sz w:val="28"/>
          <w:szCs w:val="28"/>
        </w:rPr>
        <w:t>CUARTO.-</w:t>
      </w:r>
      <w:proofErr w:type="gramEnd"/>
      <w:r w:rsidRPr="00F25C3D">
        <w:rPr>
          <w:b/>
          <w:sz w:val="28"/>
          <w:szCs w:val="28"/>
        </w:rPr>
        <w:t xml:space="preserve"> Error en la valoración de la prueba</w:t>
      </w:r>
      <w:r w:rsidRPr="00F25C3D">
        <w:rPr>
          <w:bCs/>
          <w:sz w:val="28"/>
          <w:szCs w:val="28"/>
        </w:rPr>
        <w:t>. Desde la perspectiva ya expuesta en el anterior fundamento jurídico, el escrito de recurso plantea seguidamente la existencia de un error en la valoración de la prueba derivado de la conclusión alcanzada en la sentencia en el sentido de que no se dio una información veraz sobre las circunstancias económicas que rodearon a la entidad financiera cuando se hizo la ampliación de capital, considerándose errónea la interpretación de las pruebas, más concretamente las diversas documentales adjuntas por las partes, y especialmente el propio informe pericial aportado por la parte apelante y que no había sido tenido en consideración en la sentencia apelada.</w:t>
      </w:r>
    </w:p>
    <w:p w14:paraId="0A31BD28" w14:textId="77777777" w:rsidR="00484441" w:rsidRPr="00F25C3D" w:rsidRDefault="00484441" w:rsidP="00AD7182">
      <w:pPr>
        <w:spacing w:line="360" w:lineRule="auto"/>
        <w:rPr>
          <w:bCs/>
          <w:sz w:val="28"/>
          <w:szCs w:val="28"/>
        </w:rPr>
      </w:pPr>
      <w:r w:rsidRPr="00F25C3D">
        <w:rPr>
          <w:bCs/>
          <w:sz w:val="28"/>
          <w:szCs w:val="28"/>
        </w:rPr>
        <w:t>Pues bien, debe comenzarse por determinar la sucesión de hechos que desembocaron en la pérdida de la inversión por el demandante, debiendo señalarse que son de público y general conocimiento determinados datos sobre la situación financiera del Banco Popular, algunos incluso aportados como hechos notorios correctamente destacados en la sentencia apelada o reconocidos por la propia parte apelante.</w:t>
      </w:r>
    </w:p>
    <w:p w14:paraId="31325144" w14:textId="77777777" w:rsidR="00484441" w:rsidRPr="00F25C3D" w:rsidRDefault="00484441" w:rsidP="00AD7182">
      <w:pPr>
        <w:spacing w:line="360" w:lineRule="auto"/>
        <w:ind w:firstLine="708"/>
        <w:rPr>
          <w:bCs/>
          <w:sz w:val="28"/>
          <w:szCs w:val="28"/>
        </w:rPr>
      </w:pPr>
      <w:r w:rsidRPr="00F25C3D">
        <w:rPr>
          <w:b/>
          <w:sz w:val="28"/>
          <w:szCs w:val="28"/>
        </w:rPr>
        <w:lastRenderedPageBreak/>
        <w:t>1.-</w:t>
      </w:r>
      <w:r w:rsidRPr="00F25C3D">
        <w:rPr>
          <w:bCs/>
          <w:sz w:val="28"/>
          <w:szCs w:val="28"/>
        </w:rPr>
        <w:t xml:space="preserve"> El día 25 de mayo de 2016 se aprobó una ampliación de capital de 2.505 millones de euros por el Banco Popular, S.A. En la oferta y en el folleto se hizo constar la posibilidad de que se produjese un deterioro durante el ejercicio 2016 por un importe de hasta 4.700.-millones de euros, añadiendo que ello acarrearía unas pérdidas contables en el entorno de 2.000 millones de euros que quedarían íntegramente cubiertas, a efectos de solvencia, por el aumento de capital, así como una suspensión temporal del reparto de dividendos. </w:t>
      </w:r>
    </w:p>
    <w:p w14:paraId="72647E35" w14:textId="77777777" w:rsidR="00484441" w:rsidRPr="00F25C3D" w:rsidRDefault="00484441" w:rsidP="00AD7182">
      <w:pPr>
        <w:spacing w:line="360" w:lineRule="auto"/>
        <w:ind w:firstLine="708"/>
        <w:rPr>
          <w:bCs/>
          <w:sz w:val="28"/>
          <w:szCs w:val="28"/>
        </w:rPr>
      </w:pPr>
      <w:r w:rsidRPr="00F25C3D">
        <w:rPr>
          <w:b/>
          <w:sz w:val="28"/>
          <w:szCs w:val="28"/>
        </w:rPr>
        <w:t>2.-</w:t>
      </w:r>
      <w:r w:rsidRPr="00F25C3D">
        <w:rPr>
          <w:bCs/>
          <w:sz w:val="28"/>
          <w:szCs w:val="28"/>
        </w:rPr>
        <w:t xml:space="preserve"> El 3 de febrero de 2017 la CNMV hizo pública la nota de prensa de Banco Popular en que consta que las pérdidas de 2016 habían sido de 3.485 millones, lo que se había cubierto con la ampliación y exceso de capital. </w:t>
      </w:r>
    </w:p>
    <w:p w14:paraId="144AB5A9" w14:textId="77777777" w:rsidR="00484441" w:rsidRPr="00F25C3D" w:rsidRDefault="00484441" w:rsidP="00AD7182">
      <w:pPr>
        <w:spacing w:line="360" w:lineRule="auto"/>
        <w:ind w:firstLine="708"/>
        <w:rPr>
          <w:bCs/>
          <w:sz w:val="28"/>
          <w:szCs w:val="28"/>
        </w:rPr>
      </w:pPr>
      <w:r w:rsidRPr="00F25C3D">
        <w:rPr>
          <w:b/>
          <w:sz w:val="28"/>
          <w:szCs w:val="28"/>
        </w:rPr>
        <w:t>3.-</w:t>
      </w:r>
      <w:r w:rsidRPr="00F25C3D">
        <w:rPr>
          <w:bCs/>
          <w:sz w:val="28"/>
          <w:szCs w:val="28"/>
        </w:rPr>
        <w:t xml:space="preserve"> El 3 de abril de 2017 la demandada comunicó como hecho relevante que el departamento de auditoría estaba realizando una revisión de la cartera de crédito y de determinadas cuestiones relacionadas con la ampliación de capital de mayo de 2016, y efectuaba un resumen de las circunstancias fundamentales objeto de análisis. Se hacía referencia a la "1) insuficiencia en determinadas provisiones respecto a riesgos que deben ser objeto de provisiones individualizadas, afectando a los resultados de 2016 por un importe de 123 millones de euros; 2) posible insuficiencia de provisiones asociadas a créditos dudosos en los que la entidad se ha adjudicado la garantía vinculada a estos créditos estimada en 160 millones de euros; afectando fundamentalmente a reservas; 3) respecto al punto 3) del Hecho Relevante se está analizando la cartera de dudosos de 145 millones de euros (neto de provisiones) en relación a un posible no reconocimiento de las garantías asociadas a dicha cartera. El impacto final se anunciará en el segundo trimestre de 2017...".</w:t>
      </w:r>
    </w:p>
    <w:p w14:paraId="1127D85C" w14:textId="77777777" w:rsidR="00484441" w:rsidRPr="00F25C3D" w:rsidRDefault="00484441" w:rsidP="00AD7182">
      <w:pPr>
        <w:spacing w:line="360" w:lineRule="auto"/>
        <w:ind w:firstLine="708"/>
        <w:rPr>
          <w:bCs/>
          <w:sz w:val="28"/>
          <w:szCs w:val="28"/>
        </w:rPr>
      </w:pPr>
      <w:r w:rsidRPr="00F25C3D">
        <w:rPr>
          <w:b/>
          <w:sz w:val="28"/>
          <w:szCs w:val="28"/>
        </w:rPr>
        <w:t>4.-</w:t>
      </w:r>
      <w:r w:rsidRPr="00F25C3D">
        <w:rPr>
          <w:bCs/>
          <w:sz w:val="28"/>
          <w:szCs w:val="28"/>
        </w:rPr>
        <w:t xml:space="preserve"> El 5 de mayo de 2017 la CNMV publicó nota de prensa de Banco Popular en que se decía que en el primer trimestre de 2017 se habían producido pérdidas de 137 millones de euros. </w:t>
      </w:r>
    </w:p>
    <w:p w14:paraId="40A3EB3B" w14:textId="77777777" w:rsidR="00484441" w:rsidRPr="00F25C3D" w:rsidRDefault="00484441" w:rsidP="00AD7182">
      <w:pPr>
        <w:spacing w:line="360" w:lineRule="auto"/>
        <w:ind w:firstLine="708"/>
        <w:rPr>
          <w:bCs/>
          <w:sz w:val="28"/>
          <w:szCs w:val="28"/>
        </w:rPr>
      </w:pPr>
      <w:r w:rsidRPr="00F25C3D">
        <w:rPr>
          <w:b/>
          <w:sz w:val="28"/>
          <w:szCs w:val="28"/>
        </w:rPr>
        <w:lastRenderedPageBreak/>
        <w:t>5.-</w:t>
      </w:r>
      <w:r w:rsidRPr="00F25C3D">
        <w:rPr>
          <w:bCs/>
          <w:sz w:val="28"/>
          <w:szCs w:val="28"/>
        </w:rPr>
        <w:t xml:space="preserve"> El 11 de mayo de 2017 se publicó como hecho relevante que Banco Popular desmentía haber encargado la venta urgente del Banco, que existiese riesgo de quiebra del Banco, y que el </w:t>
      </w:r>
      <w:proofErr w:type="gramStart"/>
      <w:r w:rsidRPr="00F25C3D">
        <w:rPr>
          <w:bCs/>
          <w:sz w:val="28"/>
          <w:szCs w:val="28"/>
        </w:rPr>
        <w:t>Presidente</w:t>
      </w:r>
      <w:proofErr w:type="gramEnd"/>
      <w:r w:rsidRPr="00F25C3D">
        <w:rPr>
          <w:bCs/>
          <w:sz w:val="28"/>
          <w:szCs w:val="28"/>
        </w:rPr>
        <w:t xml:space="preserve"> del Consejo de Administración hubiese comunicado a otras entidades financieras la necesidad inminente de fondos ante una fuga masiva de depósitos.</w:t>
      </w:r>
    </w:p>
    <w:p w14:paraId="6B841DE8" w14:textId="77777777" w:rsidR="00484441" w:rsidRPr="00F25C3D" w:rsidRDefault="00484441" w:rsidP="00AD7182">
      <w:pPr>
        <w:spacing w:line="360" w:lineRule="auto"/>
        <w:ind w:firstLine="708"/>
        <w:rPr>
          <w:bCs/>
          <w:sz w:val="28"/>
          <w:szCs w:val="28"/>
        </w:rPr>
      </w:pPr>
      <w:r w:rsidRPr="00F25C3D">
        <w:rPr>
          <w:b/>
          <w:sz w:val="28"/>
          <w:szCs w:val="28"/>
        </w:rPr>
        <w:t>6.-</w:t>
      </w:r>
      <w:r w:rsidRPr="00F25C3D">
        <w:rPr>
          <w:bCs/>
          <w:sz w:val="28"/>
          <w:szCs w:val="28"/>
        </w:rPr>
        <w:t xml:space="preserve"> El 15 de mayo de 2017 se publicó como hecho relevante que Banco Popular desmentía que hubiese finalizado una inspección del Banco Central Europeo, que el mismo hubiese manifestado que las cuentas anuales de 2016 de Banco Popular no reflejaban la imagen fiel de la entidad, y que la inspección que realizaba el Banco Central Europeo era parte de su programa de supervisión ordinaria.</w:t>
      </w:r>
    </w:p>
    <w:p w14:paraId="467C4790" w14:textId="77777777" w:rsidR="00484441" w:rsidRPr="00F25C3D" w:rsidRDefault="00484441" w:rsidP="00AD7182">
      <w:pPr>
        <w:spacing w:line="360" w:lineRule="auto"/>
        <w:ind w:firstLine="708"/>
        <w:rPr>
          <w:bCs/>
          <w:sz w:val="28"/>
          <w:szCs w:val="28"/>
        </w:rPr>
      </w:pPr>
      <w:r w:rsidRPr="00F25C3D">
        <w:rPr>
          <w:b/>
          <w:sz w:val="28"/>
          <w:szCs w:val="28"/>
        </w:rPr>
        <w:t>7.-</w:t>
      </w:r>
      <w:r w:rsidRPr="00F25C3D">
        <w:rPr>
          <w:bCs/>
          <w:sz w:val="28"/>
          <w:szCs w:val="28"/>
        </w:rPr>
        <w:t xml:space="preserve"> El 6 de junio de 2017 se celebró reunión del Consejo de Administración de Banco Popular en que se decía que el día anterior se había solicitado una provisión urgente de liquidez al Banco de España por importe de 9.500 millones de euros, que las validaciones habían permitido disponer de cerca de 3.500 millones de euros pero que ello no impedía que el incumplimiento de la ratio LCR hubiese dejado de ser provisional pasando a ser significativo a efectos de valoración de la inviabilidad del Banco. El consejo aprobó considerar que el Banco Popular tenía en ese momento la consideración legal de inviable y comunicar de manera inmediata al Banco Popular esa situación.</w:t>
      </w:r>
    </w:p>
    <w:p w14:paraId="28D249F0" w14:textId="77777777" w:rsidR="00484441" w:rsidRPr="00F25C3D" w:rsidRDefault="00484441" w:rsidP="00AD7182">
      <w:pPr>
        <w:spacing w:line="360" w:lineRule="auto"/>
        <w:ind w:firstLine="708"/>
        <w:rPr>
          <w:bCs/>
          <w:sz w:val="28"/>
          <w:szCs w:val="28"/>
        </w:rPr>
      </w:pPr>
      <w:r w:rsidRPr="00F25C3D">
        <w:rPr>
          <w:b/>
          <w:sz w:val="28"/>
          <w:szCs w:val="28"/>
        </w:rPr>
        <w:t>8.-</w:t>
      </w:r>
      <w:r w:rsidRPr="00F25C3D">
        <w:rPr>
          <w:bCs/>
          <w:sz w:val="28"/>
          <w:szCs w:val="28"/>
        </w:rPr>
        <w:t xml:space="preserve"> El 7 de junio de 2017 la Comisión Rectora del FROB dictó resolución respecto a Banco Popular en la que decía que el "6 de junio de 2017, el Banco Central Europeo ha comunicado a la Junta Única de Resolución (la "JUR"), la inviabilidad de la entidad de acuerdo con lo establecido en el artículo 18.4 c) del Reglamento (UE) </w:t>
      </w:r>
      <w:proofErr w:type="spellStart"/>
      <w:r w:rsidRPr="00F25C3D">
        <w:rPr>
          <w:bCs/>
          <w:sz w:val="28"/>
          <w:szCs w:val="28"/>
        </w:rPr>
        <w:t>nº</w:t>
      </w:r>
      <w:proofErr w:type="spellEnd"/>
      <w:r w:rsidRPr="00F25C3D">
        <w:rPr>
          <w:bCs/>
          <w:sz w:val="28"/>
          <w:szCs w:val="28"/>
        </w:rPr>
        <w:t xml:space="preserve"> 806/2014 por considerar que la entidad no puede hacer frente al pago de sus deudas o demás pasivos a su vencimiento o existan elementos objetivos que indiquen que no podrá hacerlo en un futuro cercano" y </w:t>
      </w:r>
      <w:r w:rsidRPr="00F25C3D">
        <w:rPr>
          <w:bCs/>
          <w:sz w:val="28"/>
          <w:szCs w:val="28"/>
        </w:rPr>
        <w:lastRenderedPageBreak/>
        <w:t>que "la JUR en su Decisión SRB/EES/2017/08 ha determinado que se cumplen las condiciones previstas en el art. 18.1 del Reglamento (UE) n.º 806/2014, de 15 de julio y, en consecuencia, ha acordado declarar la resolución de la entidad y ha aprobado el dispositivo de resolución en el que se contienen las medidas de resolución a aplicar sobre la misma. La JUR ha establecido que concurren en Banco Popular los requisitos normativamente exigidos para la declaración en resolución de la entidad por considerar que el ente está en graves dificultades, sin que existan perspectivas razonables de que otras medidas alternativas del sector privado puedan impedir su inviabilidad en un plazo de tiempo razonable y por ser dicha medida necesaria para el interés público." Entre las medidas a adoptar se decía que debía procederse a "la venta de negocio de la entidad de conformidad con los artículos 22 y 24 del Reglamento (UE) n.º 806/2014, de 15 de julio de 2014, previa la amortización y conversión de los instrumentos de capital que determinen la absorción de las pérdidas necesarias para alcanzar los objetivos de la resolución" y entre otras medidas se acordó "Reducción del capital social a cero euros (0€) mediante la amortización de las acciones actualmente en circulación con la finalidad de constituir una reserva voluntaria de carácter indisponible". Asimismo se acordaba la transmisión a Banco Santander "como único adquirente de conformidad con el apartado 1 del artículo 26 de la Ley 11/2015 , no resultando de aplicación al comprador en virtud del apartado 2º del citado artículo las limitaciones estatutarias del derecho de asistencia a la junta o al derecho de voto así como la obligación de presentar una oferta pública de adquisición con arreglo a la normativa del mercado de valores", recibiendo en contraprestación por la transmisión de acciones un euro.</w:t>
      </w:r>
    </w:p>
    <w:p w14:paraId="266B41DF" w14:textId="77777777" w:rsidR="00484441" w:rsidRPr="00F25C3D" w:rsidRDefault="00484441" w:rsidP="00AD7182">
      <w:pPr>
        <w:spacing w:line="360" w:lineRule="auto"/>
        <w:ind w:firstLine="708"/>
        <w:rPr>
          <w:bCs/>
          <w:sz w:val="28"/>
          <w:szCs w:val="28"/>
        </w:rPr>
      </w:pPr>
      <w:r w:rsidRPr="00F25C3D">
        <w:rPr>
          <w:b/>
          <w:sz w:val="28"/>
          <w:szCs w:val="28"/>
        </w:rPr>
        <w:t>9.-</w:t>
      </w:r>
      <w:r w:rsidRPr="00F25C3D">
        <w:rPr>
          <w:bCs/>
          <w:sz w:val="28"/>
          <w:szCs w:val="28"/>
        </w:rPr>
        <w:t xml:space="preserve"> Ese mismo día se produjo la adquisición del 100% de las acciones de nueva emisión de Banco Popular por parte de Banco Santander. </w:t>
      </w:r>
    </w:p>
    <w:p w14:paraId="7BCADF00" w14:textId="77777777" w:rsidR="00484441" w:rsidRPr="00F25C3D" w:rsidRDefault="00484441" w:rsidP="00AD7182">
      <w:pPr>
        <w:spacing w:line="360" w:lineRule="auto"/>
        <w:ind w:firstLine="708"/>
        <w:rPr>
          <w:bCs/>
          <w:sz w:val="28"/>
          <w:szCs w:val="28"/>
        </w:rPr>
      </w:pPr>
      <w:r w:rsidRPr="00F25C3D">
        <w:rPr>
          <w:b/>
          <w:sz w:val="28"/>
          <w:szCs w:val="28"/>
        </w:rPr>
        <w:lastRenderedPageBreak/>
        <w:t>10.-</w:t>
      </w:r>
      <w:r w:rsidRPr="00F25C3D">
        <w:rPr>
          <w:bCs/>
          <w:sz w:val="28"/>
          <w:szCs w:val="28"/>
        </w:rPr>
        <w:t xml:space="preserve"> El 28 de julio de 2017, el Banco Santander, S.A., socio único, aprobó una ampliación de capital por importe de 6.880 millones de euros que esa entidad suscribió en su totalidad, que tenía por objeto restablecer los niveles de capital requerido por el Banco Central Europeo.</w:t>
      </w:r>
    </w:p>
    <w:p w14:paraId="30D9FEC8" w14:textId="77777777" w:rsidR="00484441" w:rsidRPr="00F25C3D" w:rsidRDefault="00484441" w:rsidP="00AD7182">
      <w:pPr>
        <w:spacing w:line="360" w:lineRule="auto"/>
        <w:ind w:firstLine="708"/>
        <w:rPr>
          <w:bCs/>
          <w:sz w:val="28"/>
          <w:szCs w:val="28"/>
        </w:rPr>
      </w:pPr>
      <w:r w:rsidRPr="00F25C3D">
        <w:rPr>
          <w:bCs/>
          <w:sz w:val="28"/>
          <w:szCs w:val="28"/>
        </w:rPr>
        <w:t>Partiendo de los datos expuestos, sólo puede concluirse que la oferta de la ampliación de capital, integrada por el folleto y los informes periódicos, así como la publicidad que se hizo por la entidad Banco Popular no reflejaba la realidad económica del Banco, y que se ocultaron y tergiversaron los datos ofreciendo la apariencia de un necesidad de capital limitada, para afrontar unos posibles riesgos de escasa entidad, pese a que, como se determinó escasos meses después, la situación era gravísima, provocando que los organismos internacionales acordaran la resolución de la entidad, y todo ello sin que durante ese periodo (de mayo de 2016 a junio de 2017) se produjese ningún hecho extraordinario que justificase que el Banco pasase a no ser viable, y sin que la entidad haya dado ninguna explicación coherente sobre ello, lo que nos permite concluir que fue debido a que la información que se ofreció para la ampliación de capital no era real.</w:t>
      </w:r>
    </w:p>
    <w:p w14:paraId="36101B32" w14:textId="77777777" w:rsidR="00484441" w:rsidRPr="00F25C3D" w:rsidRDefault="00484441" w:rsidP="00AD7182">
      <w:pPr>
        <w:spacing w:line="360" w:lineRule="auto"/>
        <w:rPr>
          <w:bCs/>
          <w:sz w:val="28"/>
          <w:szCs w:val="28"/>
        </w:rPr>
      </w:pPr>
      <w:r w:rsidRPr="00F25C3D">
        <w:rPr>
          <w:bCs/>
          <w:sz w:val="28"/>
          <w:szCs w:val="28"/>
        </w:rPr>
        <w:t xml:space="preserve">Alude la parte demandada a que las causas se hallaban en la fuga masiva de depósitos por importe de 5.724 millones de </w:t>
      </w:r>
      <w:proofErr w:type="gramStart"/>
      <w:r w:rsidRPr="00F25C3D">
        <w:rPr>
          <w:bCs/>
          <w:sz w:val="28"/>
          <w:szCs w:val="28"/>
        </w:rPr>
        <w:t>euros,  si</w:t>
      </w:r>
      <w:proofErr w:type="gramEnd"/>
      <w:r w:rsidRPr="00F25C3D">
        <w:rPr>
          <w:bCs/>
          <w:sz w:val="28"/>
          <w:szCs w:val="28"/>
        </w:rPr>
        <w:t xml:space="preserve"> bien debe entenderse que no fue la causa de la situación final, sino la consecuencia, a medida que se fue conociendo la situación real de esa entidad.</w:t>
      </w:r>
    </w:p>
    <w:p w14:paraId="22F00D28" w14:textId="77777777" w:rsidR="00484441" w:rsidRPr="00F25C3D" w:rsidRDefault="00484441" w:rsidP="00AD7182">
      <w:pPr>
        <w:spacing w:line="360" w:lineRule="auto"/>
        <w:ind w:firstLine="708"/>
        <w:rPr>
          <w:bCs/>
          <w:sz w:val="28"/>
          <w:szCs w:val="28"/>
        </w:rPr>
      </w:pPr>
      <w:r w:rsidRPr="00F25C3D">
        <w:rPr>
          <w:bCs/>
          <w:sz w:val="28"/>
          <w:szCs w:val="28"/>
        </w:rPr>
        <w:t>Las consecuencias que se derivan de la inexactitudes en la información ya fueron examinadas por el propio Tribunal Supremo en la sentencia de 3 de febrero de 2016 que analizó la salida a Bolsa de Bankia, S.A, y que, salvando las distancias, estimamos que son aplicables a la ampliación de capital del Banco Popular, atendiendo a que se trata de información que ha de facilitarse a los pequeños inversores para que puedan tomar su decisión sobre la compra de las mismas.</w:t>
      </w:r>
    </w:p>
    <w:p w14:paraId="6E356FA6" w14:textId="77777777" w:rsidR="00484441" w:rsidRPr="00F25C3D" w:rsidRDefault="00484441" w:rsidP="00AD7182">
      <w:pPr>
        <w:spacing w:line="360" w:lineRule="auto"/>
        <w:ind w:firstLine="708"/>
        <w:rPr>
          <w:bCs/>
          <w:sz w:val="28"/>
          <w:szCs w:val="28"/>
        </w:rPr>
      </w:pPr>
      <w:r w:rsidRPr="00F25C3D">
        <w:rPr>
          <w:bCs/>
          <w:sz w:val="28"/>
          <w:szCs w:val="28"/>
        </w:rPr>
        <w:lastRenderedPageBreak/>
        <w:t>En ese mismo sentido, y ya respecto de la operación objeto de la presente litis, se han pronunciado diversas Audiencias Provinciales en sentencias como las de Barcelona, Sección 17ª, de 10 de julio de 2019; Girona, Sección 2ª, de 28 de junio de 2019; Alicante, Sección 5ª, de 13 de junio de 2019; Valencia, de 9 de septiembre de 2019; o Girona, de 30 de octubre de 2019.</w:t>
      </w:r>
    </w:p>
    <w:p w14:paraId="13093562" w14:textId="77777777" w:rsidR="00484441" w:rsidRPr="00F25C3D" w:rsidRDefault="00484441" w:rsidP="00AD7182">
      <w:pPr>
        <w:spacing w:line="360" w:lineRule="auto"/>
        <w:ind w:firstLine="708"/>
        <w:rPr>
          <w:bCs/>
          <w:sz w:val="28"/>
          <w:szCs w:val="28"/>
        </w:rPr>
      </w:pPr>
      <w:r w:rsidRPr="00F25C3D">
        <w:rPr>
          <w:bCs/>
          <w:sz w:val="28"/>
          <w:szCs w:val="28"/>
        </w:rPr>
        <w:t>Asimismo, la sentencia de la Audiencia Provincial de Valladolid de 1 de julio de 2019, Sección 3ª, destacaba con argumentos que hacemos propios: "1) la falta de exactitud de las cuentas anuales aprobadas por la entidad que sirvieron de base para elaborar el folleto; 2) falta de claridad y suficiencia de la información suministrada por el emisor en el folleto a la hora de plasmar los objetivos últimos de la ampliación de capital. (…)</w:t>
      </w:r>
    </w:p>
    <w:p w14:paraId="6351B0AA" w14:textId="77777777" w:rsidR="00484441" w:rsidRPr="00F25C3D" w:rsidRDefault="00484441" w:rsidP="00AD7182">
      <w:pPr>
        <w:spacing w:line="360" w:lineRule="auto"/>
        <w:ind w:firstLine="708"/>
        <w:rPr>
          <w:bCs/>
          <w:sz w:val="28"/>
          <w:szCs w:val="28"/>
        </w:rPr>
      </w:pPr>
      <w:r w:rsidRPr="00F25C3D">
        <w:rPr>
          <w:b/>
          <w:bCs/>
          <w:sz w:val="28"/>
          <w:szCs w:val="28"/>
        </w:rPr>
        <w:t>I.</w:t>
      </w:r>
      <w:r w:rsidRPr="00F25C3D">
        <w:rPr>
          <w:bCs/>
          <w:sz w:val="28"/>
          <w:szCs w:val="28"/>
        </w:rPr>
        <w:t xml:space="preserve"> Falta de exactitud o corrección de la información suministrada en el folleto.</w:t>
      </w:r>
    </w:p>
    <w:p w14:paraId="4FF34F36" w14:textId="77777777" w:rsidR="00484441" w:rsidRPr="00F25C3D" w:rsidRDefault="00484441" w:rsidP="00AD7182">
      <w:pPr>
        <w:spacing w:line="360" w:lineRule="auto"/>
        <w:ind w:firstLine="708"/>
        <w:rPr>
          <w:bCs/>
          <w:sz w:val="28"/>
          <w:szCs w:val="28"/>
        </w:rPr>
      </w:pPr>
      <w:r w:rsidRPr="00F25C3D">
        <w:rPr>
          <w:bCs/>
          <w:sz w:val="28"/>
          <w:szCs w:val="28"/>
        </w:rPr>
        <w:t>El apartado 1 del art. 37 TRLMV establece que "atendiendo a la naturaleza específica del emisor y de los valores, la información del folleto deberá permitir a los inversores hacer una evaluación, con la suficiente información, de los activos y pasivos, la situación financiera, beneficios y pérdidas, así como de las perspectivas del emisor, y eventualmente del garante, y de los derechos inherentes a tales valores", añadiendo en su apartado 3 que "formarán parte de la información fundamental, como mínimo, los elementos siguientes: a) Una breve descripción de las características esenciales y los riesgos asociados con el emisor y los posibles garantes, incluidos los activos, los pasivos y la situación financiera; (...) e) Los motivos de la oferta y el destino de los ingresos. Esta información se presentará de forma fácilmente analizable y comprensible".</w:t>
      </w:r>
    </w:p>
    <w:p w14:paraId="4432A235" w14:textId="77777777" w:rsidR="00484441" w:rsidRPr="00F25C3D" w:rsidRDefault="00484441" w:rsidP="00AD7182">
      <w:pPr>
        <w:spacing w:line="360" w:lineRule="auto"/>
        <w:ind w:firstLine="708"/>
        <w:rPr>
          <w:bCs/>
          <w:sz w:val="28"/>
          <w:szCs w:val="28"/>
        </w:rPr>
      </w:pPr>
      <w:r w:rsidRPr="00F25C3D">
        <w:rPr>
          <w:bCs/>
          <w:sz w:val="28"/>
          <w:szCs w:val="28"/>
        </w:rPr>
        <w:t xml:space="preserve">Es, por tanto, información necesaria y esencial la relativa la "suficiente información de los activos y pasivos, situación financiera, beneficios y pérdidas...", lo que nos lleva a preguntarnos si los datos financieros y contables </w:t>
      </w:r>
      <w:r w:rsidRPr="00F25C3D">
        <w:rPr>
          <w:bCs/>
          <w:sz w:val="28"/>
          <w:szCs w:val="28"/>
        </w:rPr>
        <w:lastRenderedPageBreak/>
        <w:t>facilitados a los inversores al tiempo de la ampliación eran fidedigna y se ajustaba convenientemente a la realidad económica y financiera de la entidad. Pues bien, sobre esta cuestión adquiere especial relevancia la comunicación a la CNMV que el Consejo de administración realiza el 3 de abril de 2017 (Hecho Relevante que constituye un hecho notorio o de público conocimiento en términos procesales que no precisa de prueba -art. 281.4-) en el que, en base a la información recabada del departamento de auditoría interna, la entidad reconoce "determinadas insuficiencias de provisiones asociadas a créditos dudosos en los que la entidad se ha adjudicado la garantía vinculada a estos créditos" -por importe de 160 millones de euros según estimación estadística-, y posible "necesidad de dar de baja algunas garantías asociadas a operaciones de crediticias dudosas" -145 millones de euros-. Según reza el propio comunicado, tales "circunstancias fundamentales" afectarían directamente al patrimonio neto de la entidad en la medida en que "provienen de ejercicios anteriores a 2015".</w:t>
      </w:r>
    </w:p>
    <w:p w14:paraId="6585B20E" w14:textId="77777777" w:rsidR="00484441" w:rsidRPr="00F25C3D" w:rsidRDefault="00484441" w:rsidP="00AD7182">
      <w:pPr>
        <w:spacing w:line="360" w:lineRule="auto"/>
        <w:ind w:firstLine="708"/>
        <w:rPr>
          <w:bCs/>
          <w:sz w:val="28"/>
          <w:szCs w:val="28"/>
        </w:rPr>
      </w:pPr>
      <w:r w:rsidRPr="00F25C3D">
        <w:rPr>
          <w:bCs/>
          <w:sz w:val="28"/>
          <w:szCs w:val="28"/>
        </w:rPr>
        <w:t>La lógica pregunta que nos planteamos es la siguiente: ¿Se puede considerar que tales irregularidades contables -por valor de 205 millones de euros- incluidas en las cuentas del 2015, tienen entidad suficiente como para determinar la incorrección o inexactitud del folleto y, por ende, comprometer el consentimiento prestado por los actores? En nuestra opinión la respuesta a esta pregunta debe ser afirmativa por un doble motivo:</w:t>
      </w:r>
    </w:p>
    <w:p w14:paraId="550CA504" w14:textId="77777777" w:rsidR="00484441" w:rsidRPr="00F25C3D" w:rsidRDefault="00484441" w:rsidP="00AD7182">
      <w:pPr>
        <w:spacing w:line="360" w:lineRule="auto"/>
        <w:rPr>
          <w:bCs/>
          <w:sz w:val="28"/>
          <w:szCs w:val="28"/>
        </w:rPr>
      </w:pPr>
      <w:r w:rsidRPr="00F25C3D">
        <w:rPr>
          <w:bCs/>
          <w:sz w:val="28"/>
          <w:szCs w:val="28"/>
        </w:rPr>
        <w:t xml:space="preserve">En primer lugar, porque la información suministrada en el folleto y las cuentas anuales puestas a disposición de los inversores en el momento de suscribir las acciones, no se ajustaban, como el propio Consejo de administración reconoció a principios de abril de 2017, con la realidad de la situación financiera de la entidad, especialmente en lo que al patrimonio neto se refiere. No parece dudoso que la consecuencia de provisionar tales créditos garantizados por el Banco Popular no fue otro que "llevar a pérdidas" tales activos en el balance, </w:t>
      </w:r>
      <w:r w:rsidRPr="00F25C3D">
        <w:rPr>
          <w:bCs/>
          <w:sz w:val="28"/>
          <w:szCs w:val="28"/>
        </w:rPr>
        <w:lastRenderedPageBreak/>
        <w:t>con la evidente variación, no solo del patrimonio neto, sino también de los índices de solvencia, ratios de cobertura, rentabilidad y calidad de activos que se incluyen de forma recurrente en el folleto informativo.</w:t>
      </w:r>
    </w:p>
    <w:p w14:paraId="612373CD" w14:textId="77777777" w:rsidR="00484441" w:rsidRPr="00F25C3D" w:rsidRDefault="00484441" w:rsidP="00AD7182">
      <w:pPr>
        <w:spacing w:line="360" w:lineRule="auto"/>
        <w:rPr>
          <w:bCs/>
          <w:sz w:val="28"/>
          <w:szCs w:val="28"/>
        </w:rPr>
      </w:pPr>
      <w:r w:rsidRPr="00F25C3D">
        <w:rPr>
          <w:bCs/>
          <w:sz w:val="28"/>
          <w:szCs w:val="28"/>
        </w:rPr>
        <w:t>Ahora bien, ¿nos encontramos ante irregularidades contables de relevancia o, al menos, de suficiente trascendencia?(…) Pues bien, es cierto que si atendemos al criterio seguido por la firma de auditoría -PwC- adjuntada a la propia comunicación del Hecho Relevante del 3 de abril de 2017, las mismas "no representan por sí solos, ni en su conjunto, un impacto significativo en las cuentas de la entidad al 31 de diciembre de 2016 ", por lo que aconseja la no reformulación de las cuentas anuales, e introducir correcciones retroactivas en los estados financieros del primer semestre de junio de 2017. Sin embargo, nada o poco tiene que ver el punto de vista de la firma auditora, o el criterio que pueda sostener un departamento de auditoría interna de la entidad de crédito en relación con la necesidad de reformular las cuentas, con la obligación que asiste a la entidad emisora de suministrar información veraz, precisa y suficiente sobre sus estados financieros, algo que parece difícil de sostener a la vista de las graves irregularidades contables puestas de manifiesto en el hecho relevante comentado.</w:t>
      </w:r>
    </w:p>
    <w:p w14:paraId="281E6826" w14:textId="77777777" w:rsidR="00484441" w:rsidRPr="00F25C3D" w:rsidRDefault="00484441" w:rsidP="00AD7182">
      <w:pPr>
        <w:spacing w:line="360" w:lineRule="auto"/>
        <w:ind w:firstLine="708"/>
        <w:rPr>
          <w:bCs/>
          <w:sz w:val="28"/>
          <w:szCs w:val="28"/>
        </w:rPr>
      </w:pPr>
      <w:r w:rsidRPr="00F25C3D">
        <w:rPr>
          <w:bCs/>
          <w:sz w:val="28"/>
          <w:szCs w:val="28"/>
        </w:rPr>
        <w:t xml:space="preserve">En este sentido, nos parece interesante resaltar que, si bien las incorrecciones no merecieron, a juicio de la empresa auditora y del propio consejo de administración, la necesidad de reformular las cuentas, no es menos cierto que presentaban entidad suficiente como para que el consejo de administración decidiese comunicar de forma inmediata a la CNMV, con lo que ello suponía frente a sus inversores, la opinión pública y el riesgo cierto de generar una aún mayor volatilidad en los mercados cotizados. Y es precisamente este aspecto -la necesidad de comunicar a la CNMV- la que nos lleva a concluir que las irregularidades contables detectadas por el consejo sí que eran relevantes para el mercado cotizado, pues en caso contrario no </w:t>
      </w:r>
      <w:r w:rsidRPr="00F25C3D">
        <w:rPr>
          <w:bCs/>
          <w:sz w:val="28"/>
          <w:szCs w:val="28"/>
        </w:rPr>
        <w:lastRenderedPageBreak/>
        <w:t>hubieran trascendido en la forma en que se hizo y en la medida en que hacían referencia a inexactitudes contables presentes ya en las cuentas del ejercicio 2015 y en los estados financieros trimestrales conocidos inmediatamente antes de la ampliación de capital , presentaban una importancia capital para cualquier inversor que se estaban planteando en aquel momento suscribir nuevas acciones”.</w:t>
      </w:r>
    </w:p>
    <w:p w14:paraId="318E4A21" w14:textId="77777777" w:rsidR="00484441" w:rsidRPr="00F25C3D" w:rsidRDefault="00484441" w:rsidP="00AD7182">
      <w:pPr>
        <w:spacing w:line="360" w:lineRule="auto"/>
        <w:ind w:firstLine="708"/>
        <w:rPr>
          <w:bCs/>
          <w:sz w:val="28"/>
          <w:szCs w:val="28"/>
        </w:rPr>
      </w:pPr>
      <w:r w:rsidRPr="00F25C3D">
        <w:rPr>
          <w:bCs/>
          <w:sz w:val="28"/>
          <w:szCs w:val="28"/>
        </w:rPr>
        <w:t>En definitiva, el razonamiento es sencillo: si tales irregularidades contables eran lo suficientemente graves para como para ser puestas en conocimiento inmediato de la CNMV -antes incluso de ser corregidas en sus estados financieros del primer semestre del 2017-, con mayor razón le era exigible a la entidad haber presentado su situación financiera en mayo de 2016 libre de tales irregularidades en el momento de emitir las nuevas acciones.</w:t>
      </w:r>
    </w:p>
    <w:p w14:paraId="3ABEA30A" w14:textId="77777777" w:rsidR="00484441" w:rsidRPr="00F25C3D" w:rsidRDefault="00484441" w:rsidP="00AD7182">
      <w:pPr>
        <w:spacing w:line="360" w:lineRule="auto"/>
        <w:ind w:firstLine="708"/>
        <w:rPr>
          <w:bCs/>
          <w:sz w:val="28"/>
          <w:szCs w:val="28"/>
        </w:rPr>
      </w:pPr>
      <w:r w:rsidRPr="00F25C3D">
        <w:rPr>
          <w:bCs/>
          <w:sz w:val="28"/>
          <w:szCs w:val="28"/>
        </w:rPr>
        <w:t>En segundo lugar, no se puede ignorar que la comunicación de este "hecho relevante" en abril de 2017 fue una de las causas que provocó la retirada masiva de depósitos por parte de los clientes de la entidad. Se sostiene por la parte apelante que el motivo por el que la Comisión Rectora del FROB adoptó la Resolución de fecha 7 de junio de 2017, por la que se acordó adoptar las medidas necesarias para ejecutar la decisión de la Junta Única de Resolución (JUR), fue la salida masiva de depósitos acaecida desde abril de 2017, lo que generó una súbita iliquidez del banco, y no la supuesta incorrección de la información financiera mencionada. No le falta razón a la parte apelante, pues parece razonable pensar que, si no se hubiera producido la fuga de depósitos en los meses de abril/mayo y principios de junio, el JUR no hubiera actuado de la manera que lo hizo.</w:t>
      </w:r>
    </w:p>
    <w:p w14:paraId="3E818250" w14:textId="77777777" w:rsidR="00484441" w:rsidRPr="00F25C3D" w:rsidRDefault="00484441" w:rsidP="00AD7182">
      <w:pPr>
        <w:spacing w:line="360" w:lineRule="auto"/>
        <w:ind w:firstLine="708"/>
        <w:rPr>
          <w:bCs/>
          <w:sz w:val="28"/>
          <w:szCs w:val="28"/>
        </w:rPr>
      </w:pPr>
      <w:r w:rsidRPr="00F25C3D">
        <w:rPr>
          <w:bCs/>
          <w:sz w:val="28"/>
          <w:szCs w:val="28"/>
        </w:rPr>
        <w:t xml:space="preserve">Ahora bien, el hecho de que se comunicara la incorrección de las cuentas por un importe superior a los 200 millones de euros, y que tales irregularidades trajeran causa en ciertas "operaciones crediticias dudosas" no provisionadas desde antes de 2015, no parece que hubiera contribuido a frenar las salidas </w:t>
      </w:r>
      <w:r w:rsidRPr="00F25C3D">
        <w:rPr>
          <w:bCs/>
          <w:sz w:val="28"/>
          <w:szCs w:val="28"/>
        </w:rPr>
        <w:lastRenderedPageBreak/>
        <w:t>ingentes de depósitos, por lo que no parece tan acertado desvincular las incorrecciones contables graves (al menos lo suficientemente graves -como decíamos- para justificar su comunicación a la CNMV) con la resolución promovida por la JUR. Por otro lado, el que la fuga de depósitos comenzara a las pocas semanas de la comunicación de este "hecho relevante</w:t>
      </w:r>
      <w:proofErr w:type="gramStart"/>
      <w:r w:rsidRPr="00F25C3D">
        <w:rPr>
          <w:bCs/>
          <w:sz w:val="28"/>
          <w:szCs w:val="28"/>
        </w:rPr>
        <w:t>"  contribuye</w:t>
      </w:r>
      <w:proofErr w:type="gramEnd"/>
      <w:r w:rsidRPr="00F25C3D">
        <w:rPr>
          <w:bCs/>
          <w:sz w:val="28"/>
          <w:szCs w:val="28"/>
        </w:rPr>
        <w:t xml:space="preserve"> a dotar de mayor "relevancia" si cabe a las irregularidades contables silenciadas por la entidad en sus cuentas e información disponible a fecha de la ampliación, y su posterior impacto en el fatal desenlace adoptado por la Junta Única de Resolución.</w:t>
      </w:r>
    </w:p>
    <w:p w14:paraId="0970FC13" w14:textId="77777777" w:rsidR="00484441" w:rsidRPr="00F25C3D" w:rsidRDefault="00484441" w:rsidP="00AD7182">
      <w:pPr>
        <w:spacing w:line="360" w:lineRule="auto"/>
        <w:ind w:firstLine="708"/>
        <w:rPr>
          <w:bCs/>
          <w:sz w:val="28"/>
          <w:szCs w:val="28"/>
        </w:rPr>
      </w:pPr>
      <w:r w:rsidRPr="00F25C3D">
        <w:rPr>
          <w:bCs/>
          <w:sz w:val="28"/>
          <w:szCs w:val="28"/>
        </w:rPr>
        <w:t>A todo lo anterior debemos añadir intangibles tales como la credibilidad de la propia entidad, sus estados financieros y de la propia auditoría a la que fue sometida la misma. La firma de PwC realizó un análisis puramente cuantitativo para concluir la "importancia relativa" de las incorrecciones, pero a nadie se le escapa que tales desajustes contables -no detectados por la auditoría- generaron una importante incertidumbre en las cuentas de la entidad, lo que sin duda contribuyó a la brusca pérdida de liquidez de la entidad en los meses posteriores.</w:t>
      </w:r>
    </w:p>
    <w:p w14:paraId="4E83238B" w14:textId="77777777" w:rsidR="00484441" w:rsidRPr="00F25C3D" w:rsidRDefault="00484441" w:rsidP="00AD7182">
      <w:pPr>
        <w:spacing w:line="360" w:lineRule="auto"/>
        <w:ind w:firstLine="708"/>
        <w:rPr>
          <w:bCs/>
          <w:sz w:val="28"/>
          <w:szCs w:val="28"/>
        </w:rPr>
      </w:pPr>
      <w:r w:rsidRPr="00F25C3D">
        <w:rPr>
          <w:bCs/>
          <w:sz w:val="28"/>
          <w:szCs w:val="28"/>
        </w:rPr>
        <w:t>En apoyo de lo anterior nos encontramos con el más reciente informe de la CNMV de 23 de mayo de 2018 (igualmente, un hecho notorio o de público conocimiento), en el que el organismo detectó importantes irregularidades en las cuentas anuales de la entidad en el ejercicio 2016 , proponiendo a su Comité Ejecutivo el inicio de un expediente sancionador a Banco Popular y a las personas que se relacionan en el apartado X, por haber suministrado "en el informe financiero anual consolidado del ejercicio 2016 datos inexactos o no veraces o con información engañosa o que omite aspectos relevantes", con base en los ajustes que finalmente fueron determinados y puestos de manifiesto por el Banco en la ya citada comunicación de su Hecho Relevante de 3 de abril de 2017. (…)</w:t>
      </w:r>
    </w:p>
    <w:p w14:paraId="17F75FA5" w14:textId="77777777" w:rsidR="00484441" w:rsidRPr="00F25C3D" w:rsidRDefault="00484441" w:rsidP="00AD7182">
      <w:pPr>
        <w:spacing w:line="360" w:lineRule="auto"/>
        <w:ind w:firstLine="708"/>
        <w:rPr>
          <w:bCs/>
          <w:sz w:val="28"/>
          <w:szCs w:val="28"/>
        </w:rPr>
      </w:pPr>
      <w:r w:rsidRPr="00F25C3D">
        <w:rPr>
          <w:b/>
          <w:bCs/>
          <w:sz w:val="28"/>
          <w:szCs w:val="28"/>
        </w:rPr>
        <w:lastRenderedPageBreak/>
        <w:t>II.</w:t>
      </w:r>
      <w:r w:rsidRPr="00F25C3D">
        <w:rPr>
          <w:bCs/>
          <w:sz w:val="28"/>
          <w:szCs w:val="28"/>
        </w:rPr>
        <w:t xml:space="preserve"> Falta de una información completa, exhaustiva y suficiente en el Folleto informativo de la ampliación de capital.</w:t>
      </w:r>
    </w:p>
    <w:p w14:paraId="081CEFBF" w14:textId="77777777" w:rsidR="00484441" w:rsidRPr="00F25C3D" w:rsidRDefault="00484441" w:rsidP="00AD7182">
      <w:pPr>
        <w:spacing w:line="360" w:lineRule="auto"/>
        <w:ind w:firstLine="708"/>
        <w:rPr>
          <w:bCs/>
          <w:sz w:val="28"/>
          <w:szCs w:val="28"/>
        </w:rPr>
      </w:pPr>
      <w:r w:rsidRPr="00F25C3D">
        <w:rPr>
          <w:bCs/>
          <w:sz w:val="28"/>
          <w:szCs w:val="28"/>
        </w:rPr>
        <w:t>No menos importante, a nuestro juicio, se encuentra el segundo de los motivos que nos permiten concluir que la información puesta a disposición por la entidad emisora a los inversores, a través del folleto, no era completa o suficiente. En este caso, no apreciamos irregularidad o inexactitud de la información, ni siquiera su omisión, sino que la entregada no era suficiente o, mejor dicho, no gozaba de un tratamiento adecuado, especialmente en lo relativo a los objetivos de la emisión.</w:t>
      </w:r>
    </w:p>
    <w:p w14:paraId="59262BB5" w14:textId="77777777" w:rsidR="00484441" w:rsidRPr="00F25C3D" w:rsidRDefault="00484441" w:rsidP="00AD7182">
      <w:pPr>
        <w:spacing w:line="360" w:lineRule="auto"/>
        <w:rPr>
          <w:bCs/>
          <w:sz w:val="28"/>
          <w:szCs w:val="28"/>
        </w:rPr>
      </w:pPr>
      <w:r w:rsidRPr="00F25C3D">
        <w:rPr>
          <w:bCs/>
          <w:sz w:val="28"/>
          <w:szCs w:val="28"/>
        </w:rPr>
        <w:t>En concreto, de la atenta lectura del folleto informativo nos llama poderosamente la atención la irrelevancia que se concede a las incertidumbres y riesgos que, paradójicamente, sí que ocupaban un papel central en el "Hecho Relevante" comunicado a la CNMV el 26.5.2016 (hecho notorio) con ocasión de la aprobación por el Consejo de Administración y la Junta de accionistas de la ampliación de capital. (…)</w:t>
      </w:r>
    </w:p>
    <w:p w14:paraId="286796DF" w14:textId="77777777" w:rsidR="00484441" w:rsidRPr="00F25C3D" w:rsidRDefault="00484441" w:rsidP="00AD7182">
      <w:pPr>
        <w:spacing w:line="360" w:lineRule="auto"/>
        <w:ind w:firstLine="708"/>
        <w:rPr>
          <w:bCs/>
          <w:sz w:val="28"/>
          <w:szCs w:val="28"/>
        </w:rPr>
      </w:pPr>
      <w:r w:rsidRPr="00F25C3D">
        <w:rPr>
          <w:bCs/>
          <w:sz w:val="28"/>
          <w:szCs w:val="28"/>
        </w:rPr>
        <w:t>En concreto, el comunicado expone como finalidad concreta de la ampliación su necesidad de gozar de un "mayor margen de maniobra frente a requerimientos regulatorios futuros y frente a la posibilidad que se materialicen determinados determinadas incertidumbres que puedan afectar significativamente a las previsiones contables", pasando a continuación a señalar que si se "materializasen total o parcialmente tales incertidumbres , se estima que la necesidad de reforzamiento de los niveles de coberturas durante el ejercicio 2016 podría ascender hasta un importe aproximado de 4.700 millones de euros, que supondría un aumento de 12 puntos porcentuales hasta el 50%". La consecuencia inmediata de que se materialicen tales "incertidumbres" sería la previsible generación de pérdidas contables en el ejercicio, las cuales quedarían cubiertas con el aumento de capital y con la lógica suspensión del reparto de dividendos.</w:t>
      </w:r>
    </w:p>
    <w:p w14:paraId="2913B3DE" w14:textId="77777777" w:rsidR="00484441" w:rsidRPr="00F25C3D" w:rsidRDefault="00484441" w:rsidP="00AD7182">
      <w:pPr>
        <w:spacing w:line="360" w:lineRule="auto"/>
        <w:ind w:firstLine="708"/>
        <w:rPr>
          <w:bCs/>
          <w:sz w:val="28"/>
          <w:szCs w:val="28"/>
        </w:rPr>
      </w:pPr>
      <w:r w:rsidRPr="00F25C3D">
        <w:rPr>
          <w:bCs/>
          <w:sz w:val="28"/>
          <w:szCs w:val="28"/>
        </w:rPr>
        <w:lastRenderedPageBreak/>
        <w:t>Pues bien, antes apuntábamos que el Folleto sí que menciona estas incertidumbres, aunque con un tratamiento meramente tangencial, insuficiente y con absoluta falta de rigor. En particular, en el apartado 2 correspondiente a la "aceleración de la normalización de la actividad", se menciona la necesidad de "aceleración de la reducción de activos improductivos" (pág. 17), básicamente, el negocio inmobiliario. El Folleto pone en valor la estrategia seguida desde el año 2015 indicando que la misma "ha dado sus frutos" y que tales activos improductivos "han caído drásticamente ya en el año 2015", presentado las buenas expectativas del sector para el futuro (págs. 19 a 21) para, finalmente, en la página 23 del Folleto señalar que " adicionalmente, Popular reforzará su ratio de cobertura acelerando la estrategia de reducción de activos improductivos ", incluyendo un gráfico sobre la ratio de cobertura de estos "activos improductivos" (de los que, se dice, el 87% se trata de activos hipotecarios o inmuebles directamente), en el que se da por hecho que el mismo pasará del 38% del primer trimestre del2016 al 50% en el cuarto del mismo año, todo ello a pesar de que la leyenda que se incluye en el recuadro inferior, en negrita y enmarcado, advierte de que " ciertas incertidumbres podrían dar lugar a provisiones durante el 2016 de hasta 4.700 millones de euros ...".</w:t>
      </w:r>
    </w:p>
    <w:p w14:paraId="73E810BB" w14:textId="77777777" w:rsidR="00484441" w:rsidRPr="00F25C3D" w:rsidRDefault="00484441" w:rsidP="00AD7182">
      <w:pPr>
        <w:spacing w:line="360" w:lineRule="auto"/>
        <w:ind w:firstLine="708"/>
        <w:rPr>
          <w:bCs/>
          <w:sz w:val="28"/>
          <w:szCs w:val="28"/>
        </w:rPr>
      </w:pPr>
      <w:r w:rsidRPr="00F25C3D">
        <w:rPr>
          <w:bCs/>
          <w:sz w:val="28"/>
          <w:szCs w:val="28"/>
        </w:rPr>
        <w:t>Nada se añade al respecto. No se explican a qué tipo de "incertidumbres" se está enfrentando la entidad y que pueden afectar tan decisivamente el balance y patrimonio neto de la entidad. Tampoco se aclara si estas provisiones traen causa de "requerimientos regulatorios futuros", o si las incertidumbres tienen relación con el mercado inmobiliario en general, o bien riesgos propios de la entidad como los que se pusieron de relieve por el departamento de auditoría interna al consejo y que este comunicó a la CNMV en la célebre comunicación del 3 de abril de 2017. (…)</w:t>
      </w:r>
    </w:p>
    <w:p w14:paraId="28D6C1E8" w14:textId="77777777" w:rsidR="00484441" w:rsidRPr="00F25C3D" w:rsidRDefault="00484441" w:rsidP="00AD7182">
      <w:pPr>
        <w:spacing w:line="360" w:lineRule="auto"/>
        <w:ind w:firstLine="708"/>
        <w:rPr>
          <w:bCs/>
          <w:sz w:val="28"/>
          <w:szCs w:val="28"/>
        </w:rPr>
      </w:pPr>
      <w:r w:rsidRPr="00F25C3D">
        <w:rPr>
          <w:bCs/>
          <w:sz w:val="28"/>
          <w:szCs w:val="28"/>
        </w:rPr>
        <w:lastRenderedPageBreak/>
        <w:t>Lo anterior nos permite inferir que la entidad emisora no fue del todo clara a la hora de plasmar en el Folleto los fines últimos que perseguía con la ampliación. (…)</w:t>
      </w:r>
    </w:p>
    <w:p w14:paraId="51D9B161" w14:textId="77777777" w:rsidR="00484441" w:rsidRPr="00F25C3D" w:rsidRDefault="00484441" w:rsidP="00AD7182">
      <w:pPr>
        <w:spacing w:line="360" w:lineRule="auto"/>
        <w:ind w:firstLine="708"/>
        <w:rPr>
          <w:bCs/>
          <w:sz w:val="28"/>
          <w:szCs w:val="28"/>
        </w:rPr>
      </w:pPr>
      <w:r w:rsidRPr="00F25C3D">
        <w:rPr>
          <w:bCs/>
          <w:sz w:val="28"/>
          <w:szCs w:val="28"/>
        </w:rPr>
        <w:t>Así las cosas, retomando las exigencias del folleto incluidas en apartado 3 del art. 37 del TRLSC, resulta que en el presente caso la entidad no presentó con claridad los motivos de la oferta y el destino de los ingresos, no facilitando esta información de forma fácilmente analizable y comprensible por los inversores, pues se utilizan términos abstractos y genéricos, sin precisar cuáles eran esos riesgos e incertidumbres que podrían llegar a generar provisiones por el importe que se menciona. Además, con independencia de que la información era insuficiente y que se privó a los inversores de elementos esenciales de juicio para decidir acudir a la ampliación, tampoco el tratamiento residual que se otorga en el folleto a esta información esencial permitió que los inversores pudieran analizar y comprender convenientemente los verdaderos riesgos que estaban asumiendo con la operación."</w:t>
      </w:r>
    </w:p>
    <w:p w14:paraId="2776B6BF" w14:textId="77777777" w:rsidR="00484441" w:rsidRPr="00F25C3D" w:rsidRDefault="00484441" w:rsidP="00AD7182">
      <w:pPr>
        <w:spacing w:line="360" w:lineRule="auto"/>
        <w:ind w:firstLine="708"/>
        <w:rPr>
          <w:bCs/>
          <w:sz w:val="28"/>
          <w:szCs w:val="28"/>
        </w:rPr>
      </w:pPr>
      <w:r w:rsidRPr="00F25C3D">
        <w:rPr>
          <w:bCs/>
          <w:sz w:val="28"/>
          <w:szCs w:val="28"/>
        </w:rPr>
        <w:t>Todo ello hace que a nuestro entender no resulte forzado, ni sea exagerado, ni exorbitado, ni contrario a la prueba, la determinación de que a la ampliación del año 2.016 el Banco Popular no reflejaba con exactitud su realidad financiera, como señaló también la Audiencia Provincial de Vizcaya en sentencia de 24 de junio de 2019.</w:t>
      </w:r>
    </w:p>
    <w:p w14:paraId="104D956E" w14:textId="77777777" w:rsidR="00484441" w:rsidRPr="00F25C3D" w:rsidRDefault="00484441" w:rsidP="00AD7182">
      <w:pPr>
        <w:spacing w:line="360" w:lineRule="auto"/>
        <w:ind w:firstLine="708"/>
        <w:rPr>
          <w:bCs/>
          <w:sz w:val="28"/>
          <w:szCs w:val="28"/>
        </w:rPr>
      </w:pPr>
      <w:r w:rsidRPr="00F25C3D">
        <w:rPr>
          <w:bCs/>
          <w:sz w:val="28"/>
          <w:szCs w:val="28"/>
        </w:rPr>
        <w:t>Frente al cúmulo de datos y argumentos recogidos en las resoluciones citadas, la parte apelante pretende sostener que los hechos se han fijado de manera arbitraria y que no se ha valorado correctamente la prueba en relación al informe pericial. Sin embargo, de todo lo expuesto se desprende la conclusión clara de que se dio una información inexacta e interesada en el momento de la emisión. En definitiva, la información facilitada nunca reflejó fielmente la situación de la sociedad.</w:t>
      </w:r>
    </w:p>
    <w:p w14:paraId="0B6A60D9" w14:textId="77777777" w:rsidR="00484441" w:rsidRPr="00F25C3D" w:rsidRDefault="00484441" w:rsidP="00AD7182">
      <w:pPr>
        <w:spacing w:line="360" w:lineRule="auto"/>
        <w:ind w:firstLine="708"/>
        <w:rPr>
          <w:bCs/>
          <w:sz w:val="28"/>
          <w:szCs w:val="28"/>
        </w:rPr>
      </w:pPr>
      <w:r w:rsidRPr="00F25C3D">
        <w:rPr>
          <w:bCs/>
          <w:sz w:val="28"/>
          <w:szCs w:val="28"/>
        </w:rPr>
        <w:lastRenderedPageBreak/>
        <w:t xml:space="preserve">Esta Audiencia Provincial ya ha tenido ocasión de manifestarse en idénticos términos en supuestos análogos, como en la sentencia de la Sección 20ª de 6 de noviembre de 2019 que argumentaba que la parte demandante “carecía de otros medios de obtener información sobre los datos económicos que afectan a la sociedad cuyas acciones salen a cotización y que eran del todo relevantes para tomar la decisión inversora que las contenidas en la "Nota sobre las Acciones" o folleto informativo de la emisión, difundida por la CMNV el 26 de mayo de 2016, en la que se hacía constar que la ampliación de capital tenía por objeto fundamental fortalecer el balance del Banco y mejorar tanto sus índices de rentabilidad como sus niveles de solvencia y de calidad de activos, y que con los recursos obtenidos, el Banco dispondrá de un mejor margen de maniobra frente a requerimientos regulatorios futuros y frente a la posibilidad de que se materialicen determinadas incertidumbres que para el caso de que se materializasen parcial o totalmente ocasionaría previsiblemente pérdidas contables en el entorno de los 2.000 millones de euros en el ejercicio 2016, que quedarían íntegramente cubiertas, a efectos de solvencia, por el Aumento de Capital, así como una suspensión temporal del reparto del dividendo, de cara a afrontar dicho entorno de incertidumbre con la mayor solidez posible. Esta estrategia iría acompañada de una reducción progresiva de activos improductivos. Añadiendo que el Banco tiene actualmente la intención de reanudar los pagos de dividendos (tanto en efectivo como en especie) tan pronto como el Grupo informe de resultados consolidados trimestrales positivos en 2017, sujeto a autorizaciones administrativas, lo cierto es que la demandante cuando adquirió las acciones ignoraba que invertía en una entidad con más pérdidas de las conocidas, y buena prueba de ello es que el día 3 de febrero de 2017 la CNMV hizo pública la nota de prensa de Banco Popular en que consta que las pérdidas de 2016 habían sido de 3.485 millones, iniciándose un período de deterioro continuado que culminó el día 7 de junio de 2017 en el </w:t>
      </w:r>
      <w:r w:rsidRPr="00F25C3D">
        <w:rPr>
          <w:bCs/>
          <w:sz w:val="28"/>
          <w:szCs w:val="28"/>
        </w:rPr>
        <w:lastRenderedPageBreak/>
        <w:t xml:space="preserve">que la Comisión Rectora del FROB dictó resolución respecto a Banco Popular en la que decía que el "6 de junio de 2017, el Banco Central Europeo ha comunicado a la Junta Única de Resolución (la "JUR"), la inviabilidad de la entidad de acuerdo con lo establecido en el artículo 18.4 c) del Reglamento (UE) </w:t>
      </w:r>
      <w:proofErr w:type="spellStart"/>
      <w:r w:rsidRPr="00F25C3D">
        <w:rPr>
          <w:bCs/>
          <w:sz w:val="28"/>
          <w:szCs w:val="28"/>
        </w:rPr>
        <w:t>nº</w:t>
      </w:r>
      <w:proofErr w:type="spellEnd"/>
      <w:r w:rsidRPr="00F25C3D">
        <w:rPr>
          <w:bCs/>
          <w:sz w:val="28"/>
          <w:szCs w:val="28"/>
        </w:rPr>
        <w:t xml:space="preserve"> 806/2014 por considerar que la entidad no puede hacer frente al pago de sus deudas o demás pasivos a su vencimiento o existan elementos objetivos que indiquen que no podrá hacerlo en un futuro cercano". Dicho deterioro no puede atribuirse, como pretende la parte recurrente, a una retirada masiva de fondos de los clientes del Banco durante los días previos a la resolución. Esta retirada es la consecuencia de un deterioro que era de público conocimiento. Ninguna de las partes ha aportado a los autos dictámenes periciales o pruebas técnicas, pero ello no puede favorecer a la mercantil recurrente que tiene los medios y disponibilidad para aportarla frente a la demandante que carece de ello”.</w:t>
      </w:r>
    </w:p>
    <w:p w14:paraId="0B122E0A" w14:textId="77777777" w:rsidR="00484441" w:rsidRPr="00F25C3D" w:rsidRDefault="00484441" w:rsidP="00AD7182">
      <w:pPr>
        <w:spacing w:line="360" w:lineRule="auto"/>
        <w:ind w:firstLine="708"/>
        <w:rPr>
          <w:bCs/>
          <w:sz w:val="28"/>
          <w:szCs w:val="28"/>
        </w:rPr>
      </w:pPr>
      <w:r w:rsidRPr="00F25C3D">
        <w:rPr>
          <w:bCs/>
          <w:sz w:val="28"/>
          <w:szCs w:val="28"/>
        </w:rPr>
        <w:t xml:space="preserve">Esta misma sección, en sentencia de 13 de diciembre de 2019, dictada en el rollo de apelación 360/2019, ya mantuvo idéntica posición, por lo que no puede prosperar en ese aspecto el recurso interpuesto. Por tanto, debe estimarse la demanda en su petición subsidiaria por considerar que la parte demandada incumplió las obligaciones recogidas en la Ley del Mercado de Valores y, por tanto, condenándole a indemnizar al demandante con la suma de 9.846,78 € en concepto de daños y perjuicios, equivalentes al valor de la inversión efectuada y en la que se cifran los daños sufridos, más los intereses legales correspondientes desde el requerimiento extrajudicial de 18 de julio de 2017.  </w:t>
      </w:r>
    </w:p>
    <w:p w14:paraId="537CFADE" w14:textId="77777777" w:rsidR="00F87B01" w:rsidRPr="00F25C3D" w:rsidRDefault="00F87B01" w:rsidP="00F87B01">
      <w:pPr>
        <w:spacing w:line="360" w:lineRule="auto"/>
        <w:rPr>
          <w:bCs/>
          <w:sz w:val="28"/>
          <w:szCs w:val="28"/>
        </w:rPr>
      </w:pPr>
    </w:p>
    <w:p w14:paraId="7CB0EA31" w14:textId="77777777" w:rsidR="00484441" w:rsidRPr="00F25C3D" w:rsidRDefault="00484441" w:rsidP="00F87B01">
      <w:pPr>
        <w:spacing w:line="360" w:lineRule="auto"/>
        <w:ind w:firstLine="708"/>
        <w:rPr>
          <w:sz w:val="28"/>
          <w:szCs w:val="28"/>
        </w:rPr>
      </w:pPr>
      <w:proofErr w:type="gramStart"/>
      <w:r w:rsidRPr="00F25C3D">
        <w:rPr>
          <w:b/>
          <w:sz w:val="28"/>
          <w:szCs w:val="28"/>
        </w:rPr>
        <w:t>QUINTO.-</w:t>
      </w:r>
      <w:proofErr w:type="gramEnd"/>
      <w:r w:rsidRPr="00F25C3D">
        <w:rPr>
          <w:b/>
          <w:sz w:val="28"/>
          <w:szCs w:val="28"/>
        </w:rPr>
        <w:t xml:space="preserve"> Costas</w:t>
      </w:r>
      <w:r w:rsidRPr="00F25C3D">
        <w:rPr>
          <w:bCs/>
          <w:sz w:val="28"/>
          <w:szCs w:val="28"/>
        </w:rPr>
        <w:t>.</w:t>
      </w:r>
      <w:r w:rsidRPr="00F25C3D">
        <w:rPr>
          <w:sz w:val="28"/>
          <w:szCs w:val="28"/>
        </w:rPr>
        <w:t xml:space="preserve"> De conformidad con el artículo 398 de la Ley de Enjuiciamiento Civil, al estimarse parcialmente el recurso de apelación, no procede hacer especial pronunciamiento sobre las cos</w:t>
      </w:r>
      <w:r w:rsidR="00F87B01" w:rsidRPr="00F25C3D">
        <w:rPr>
          <w:sz w:val="28"/>
          <w:szCs w:val="28"/>
        </w:rPr>
        <w:t>tas causadas en esta instancia.</w:t>
      </w:r>
    </w:p>
    <w:p w14:paraId="2A1547F2" w14:textId="77777777" w:rsidR="00F87B01" w:rsidRPr="00F25C3D" w:rsidRDefault="00F87B01" w:rsidP="00AD7182">
      <w:pPr>
        <w:spacing w:line="360" w:lineRule="auto"/>
        <w:rPr>
          <w:sz w:val="28"/>
          <w:szCs w:val="28"/>
        </w:rPr>
      </w:pPr>
    </w:p>
    <w:p w14:paraId="0D75E95B" w14:textId="77777777" w:rsidR="00F87B01" w:rsidRPr="00F25C3D" w:rsidRDefault="00484441" w:rsidP="00902AEF">
      <w:pPr>
        <w:spacing w:line="360" w:lineRule="auto"/>
        <w:ind w:firstLine="708"/>
        <w:rPr>
          <w:sz w:val="28"/>
          <w:szCs w:val="28"/>
        </w:rPr>
      </w:pPr>
      <w:r w:rsidRPr="00F25C3D">
        <w:rPr>
          <w:b/>
          <w:sz w:val="28"/>
          <w:szCs w:val="28"/>
        </w:rPr>
        <w:t>V I S T O S</w:t>
      </w:r>
      <w:r w:rsidRPr="00F25C3D">
        <w:rPr>
          <w:sz w:val="28"/>
          <w:szCs w:val="28"/>
        </w:rPr>
        <w:t xml:space="preserve"> los preceptos legales citados y demás de general y pertinente aplicación</w:t>
      </w:r>
      <w:r w:rsidR="00902AEF" w:rsidRPr="00F25C3D">
        <w:rPr>
          <w:sz w:val="28"/>
          <w:szCs w:val="28"/>
        </w:rPr>
        <w:t>.</w:t>
      </w:r>
    </w:p>
    <w:p w14:paraId="7F8604BF" w14:textId="77777777" w:rsidR="00F87B01" w:rsidRPr="00F25C3D" w:rsidRDefault="00F87B01" w:rsidP="00AD7182">
      <w:pPr>
        <w:spacing w:line="360" w:lineRule="auto"/>
        <w:rPr>
          <w:sz w:val="28"/>
          <w:szCs w:val="28"/>
        </w:rPr>
      </w:pPr>
    </w:p>
    <w:p w14:paraId="53711889" w14:textId="77777777" w:rsidR="00484441" w:rsidRPr="00F25C3D" w:rsidRDefault="00484441" w:rsidP="00AD7182">
      <w:pPr>
        <w:spacing w:line="360" w:lineRule="auto"/>
        <w:jc w:val="center"/>
        <w:rPr>
          <w:b/>
          <w:sz w:val="28"/>
          <w:szCs w:val="28"/>
        </w:rPr>
      </w:pPr>
      <w:r w:rsidRPr="00F25C3D">
        <w:rPr>
          <w:b/>
          <w:sz w:val="28"/>
          <w:szCs w:val="28"/>
        </w:rPr>
        <w:t xml:space="preserve">F A L </w:t>
      </w:r>
      <w:proofErr w:type="spellStart"/>
      <w:r w:rsidRPr="00F25C3D">
        <w:rPr>
          <w:b/>
          <w:sz w:val="28"/>
          <w:szCs w:val="28"/>
        </w:rPr>
        <w:t>L</w:t>
      </w:r>
      <w:proofErr w:type="spellEnd"/>
      <w:r w:rsidRPr="00F25C3D">
        <w:rPr>
          <w:b/>
          <w:sz w:val="28"/>
          <w:szCs w:val="28"/>
        </w:rPr>
        <w:t xml:space="preserve"> A M O S</w:t>
      </w:r>
    </w:p>
    <w:p w14:paraId="34C71111" w14:textId="77777777" w:rsidR="00484441" w:rsidRPr="00F25C3D" w:rsidRDefault="00484441" w:rsidP="00AD7182">
      <w:pPr>
        <w:spacing w:line="360" w:lineRule="auto"/>
        <w:rPr>
          <w:sz w:val="28"/>
          <w:szCs w:val="28"/>
        </w:rPr>
      </w:pPr>
    </w:p>
    <w:p w14:paraId="53E69616" w14:textId="55C54BD2" w:rsidR="00484441" w:rsidRPr="00F25C3D" w:rsidRDefault="00484441" w:rsidP="00AD7182">
      <w:pPr>
        <w:spacing w:line="360" w:lineRule="auto"/>
        <w:ind w:firstLine="708"/>
        <w:rPr>
          <w:sz w:val="28"/>
          <w:szCs w:val="28"/>
        </w:rPr>
      </w:pPr>
      <w:r w:rsidRPr="00F25C3D">
        <w:rPr>
          <w:sz w:val="28"/>
          <w:szCs w:val="28"/>
        </w:rPr>
        <w:t>Que estimando parcialmente el recurso de apelación interpuesto por el Banco de Santander, S.A</w:t>
      </w:r>
      <w:r w:rsidR="002523FB">
        <w:rPr>
          <w:sz w:val="28"/>
          <w:szCs w:val="28"/>
        </w:rPr>
        <w:t>………..</w:t>
      </w:r>
      <w:bookmarkStart w:id="3" w:name="_GoBack"/>
      <w:bookmarkEnd w:id="3"/>
      <w:r w:rsidRPr="00F25C3D">
        <w:rPr>
          <w:sz w:val="28"/>
          <w:szCs w:val="28"/>
        </w:rPr>
        <w:t xml:space="preserve">, debemos revocar y revocamos dicha resolución, desestimando la acción de nulidad por vicio del consentimiento ejercitada con carácter principal en la demanda, y, estimando la petición subsidiaria de la demanda, debemos condenar y condenamos a la entidad demandada a indemnizar al demandante por daños y perjuicios con la suma de 9846,78 €, más los intereses legales desde la fecha de la reclamación extrajudicial efectuada el 18 de julio de 2017. Todo ello sin hacer especial pronunciamiento sobre las costas procesales causadas en el presente recurso. </w:t>
      </w:r>
    </w:p>
    <w:p w14:paraId="5018ACD2" w14:textId="77777777" w:rsidR="00AD7182" w:rsidRPr="00F25C3D" w:rsidRDefault="00484441" w:rsidP="00AD7182">
      <w:pPr>
        <w:spacing w:line="360" w:lineRule="auto"/>
        <w:ind w:firstLine="708"/>
        <w:rPr>
          <w:sz w:val="28"/>
          <w:szCs w:val="28"/>
          <w:lang w:eastAsia="es-ES"/>
        </w:rPr>
      </w:pPr>
      <w:r w:rsidRPr="00F25C3D">
        <w:rPr>
          <w:sz w:val="28"/>
          <w:szCs w:val="28"/>
          <w:lang w:eastAsia="es-ES"/>
        </w:rPr>
        <w:t>La estimación del recurso determina la devolución del depósito constituido, de conformidad con lo establecido en la Disposición Adicional 15ª de la Ley Orgánica 6/1985 de 1 de Julio, del Poder Judicial, introducida por la Ley Orgánica 1/2009, de 3 de noviembre, complementaria de la ley de reforma de la legislación procesal para la implantación de la nueva oficina judicial.</w:t>
      </w:r>
    </w:p>
    <w:p w14:paraId="5DAAE488" w14:textId="77777777" w:rsidR="00484441" w:rsidRPr="00F25C3D" w:rsidRDefault="00484441" w:rsidP="00AD7182">
      <w:pPr>
        <w:spacing w:line="360" w:lineRule="auto"/>
        <w:ind w:firstLine="708"/>
        <w:rPr>
          <w:sz w:val="28"/>
          <w:szCs w:val="28"/>
        </w:rPr>
      </w:pPr>
      <w:proofErr w:type="gramStart"/>
      <w:r w:rsidRPr="00F25C3D">
        <w:rPr>
          <w:sz w:val="28"/>
          <w:szCs w:val="28"/>
        </w:rPr>
        <w:t>Contra  esta</w:t>
      </w:r>
      <w:proofErr w:type="gramEnd"/>
      <w:r w:rsidRPr="00F25C3D">
        <w:rPr>
          <w:sz w:val="28"/>
          <w:szCs w:val="28"/>
        </w:rPr>
        <w:t xml:space="preserve"> sentencia cabe recurso de casación, siempre que la resolución del recurso presente </w:t>
      </w:r>
      <w:r w:rsidRPr="00F25C3D">
        <w:rPr>
          <w:b/>
          <w:sz w:val="28"/>
          <w:szCs w:val="28"/>
        </w:rPr>
        <w:t>interés casacional</w:t>
      </w:r>
      <w:r w:rsidRPr="00F25C3D">
        <w:rPr>
          <w:sz w:val="28"/>
          <w:szCs w:val="28"/>
        </w:rPr>
        <w:t xml:space="preserve">, con cumplimiento de los requisitos formales y de fondo de interposición, y recurso extraordinario por infracción procesal, ambos ante la Sala Primera del Tribunal Supremo, los que deberán interponerse ante este Tribunal en el plazo de </w:t>
      </w:r>
      <w:r w:rsidRPr="00F25C3D">
        <w:rPr>
          <w:b/>
          <w:sz w:val="28"/>
          <w:szCs w:val="28"/>
        </w:rPr>
        <w:t>VEINTE</w:t>
      </w:r>
      <w:r w:rsidRPr="00F25C3D">
        <w:rPr>
          <w:sz w:val="28"/>
          <w:szCs w:val="28"/>
        </w:rPr>
        <w:t xml:space="preserve"> días desde el siguiente al de la notificación de la sentencia. No podrá presentarse recurso extraordinario por infracción procesal sin formular recurso de casación.</w:t>
      </w:r>
    </w:p>
    <w:p w14:paraId="000E12FF" w14:textId="77777777" w:rsidR="00484441" w:rsidRPr="00F25C3D" w:rsidRDefault="00484441" w:rsidP="00AD7182">
      <w:pPr>
        <w:spacing w:line="360" w:lineRule="auto"/>
        <w:ind w:firstLine="708"/>
        <w:rPr>
          <w:sz w:val="28"/>
          <w:szCs w:val="28"/>
        </w:rPr>
      </w:pPr>
      <w:r w:rsidRPr="00F25C3D">
        <w:rPr>
          <w:sz w:val="28"/>
          <w:szCs w:val="28"/>
        </w:rPr>
        <w:lastRenderedPageBreak/>
        <w:t xml:space="preserve">Haciéndose saber a las partes </w:t>
      </w:r>
      <w:proofErr w:type="gramStart"/>
      <w:r w:rsidRPr="00F25C3D">
        <w:rPr>
          <w:sz w:val="28"/>
          <w:szCs w:val="28"/>
        </w:rPr>
        <w:t>que</w:t>
      </w:r>
      <w:proofErr w:type="gramEnd"/>
      <w:r w:rsidRPr="00F25C3D">
        <w:rPr>
          <w:sz w:val="28"/>
          <w:szCs w:val="28"/>
        </w:rPr>
        <w:t xml:space="preserve"> al tiempo de la interposición de los mismos, deberán acreditar haber constituido el depósito que, por importe de </w:t>
      </w:r>
      <w:r w:rsidRPr="00F25C3D">
        <w:rPr>
          <w:b/>
          <w:sz w:val="28"/>
          <w:szCs w:val="28"/>
        </w:rPr>
        <w:t>50 €</w:t>
      </w:r>
      <w:r w:rsidRPr="00F25C3D">
        <w:rPr>
          <w:sz w:val="28"/>
          <w:szCs w:val="28"/>
        </w:rPr>
        <w:t xml:space="preserve"> </w:t>
      </w:r>
      <w:r w:rsidRPr="00F25C3D">
        <w:rPr>
          <w:b/>
          <w:sz w:val="28"/>
          <w:szCs w:val="28"/>
        </w:rPr>
        <w:t>por cada tipo de recurso</w:t>
      </w:r>
      <w:r w:rsidRPr="00F25C3D">
        <w:rPr>
          <w:sz w:val="28"/>
          <w:szCs w:val="28"/>
        </w:rPr>
        <w:t>, previene la Disposición Adicional Decimoquinta de la L.O.P.J., establecida por la Ley Orgánica 1/09, de 3 de noviembre, sin cuyo requisito, el recurso de que se trate no será admitido a trámite.</w:t>
      </w:r>
    </w:p>
    <w:p w14:paraId="36FB6F18" w14:textId="77777777" w:rsidR="00484441" w:rsidRPr="00F25C3D" w:rsidRDefault="00484441" w:rsidP="00AD7182">
      <w:pPr>
        <w:spacing w:line="360" w:lineRule="auto"/>
        <w:ind w:firstLine="708"/>
        <w:rPr>
          <w:sz w:val="28"/>
          <w:szCs w:val="28"/>
        </w:rPr>
      </w:pPr>
      <w:r w:rsidRPr="00F25C3D">
        <w:rPr>
          <w:sz w:val="28"/>
          <w:szCs w:val="28"/>
        </w:rPr>
        <w:t xml:space="preserve">Dicho depósito habrá de constituirse expresando que se trata de un “Recurso”, seguido del código y tipo concreto de recurso del que se trate, en la Cuenta de Depósitos y Consignaciones de esta Sección abierta con el </w:t>
      </w:r>
      <w:proofErr w:type="spellStart"/>
      <w:r w:rsidRPr="00F25C3D">
        <w:rPr>
          <w:sz w:val="28"/>
          <w:szCs w:val="28"/>
        </w:rPr>
        <w:t>nº</w:t>
      </w:r>
      <w:proofErr w:type="spellEnd"/>
      <w:r w:rsidRPr="00F25C3D">
        <w:rPr>
          <w:sz w:val="28"/>
          <w:szCs w:val="28"/>
        </w:rPr>
        <w:t xml:space="preserve"> 2580, en la sucursal 3569 del Banco de Santander, sita en la calle Ferraz </w:t>
      </w:r>
      <w:proofErr w:type="spellStart"/>
      <w:r w:rsidRPr="00F25C3D">
        <w:rPr>
          <w:sz w:val="28"/>
          <w:szCs w:val="28"/>
        </w:rPr>
        <w:t>nº</w:t>
      </w:r>
      <w:proofErr w:type="spellEnd"/>
      <w:r w:rsidRPr="00F25C3D">
        <w:rPr>
          <w:sz w:val="28"/>
          <w:szCs w:val="28"/>
        </w:rPr>
        <w:t xml:space="preserve"> 43.</w:t>
      </w:r>
    </w:p>
    <w:p w14:paraId="66E1B6DF" w14:textId="77777777" w:rsidR="00903C2E" w:rsidRPr="00F25C3D" w:rsidRDefault="00903C2E" w:rsidP="00AD7182">
      <w:pPr>
        <w:spacing w:line="360" w:lineRule="auto"/>
        <w:rPr>
          <w:sz w:val="28"/>
          <w:szCs w:val="28"/>
        </w:rPr>
      </w:pPr>
    </w:p>
    <w:p w14:paraId="7C31779A" w14:textId="77777777" w:rsidR="0042776D" w:rsidRPr="00F25C3D" w:rsidRDefault="00D53FBF" w:rsidP="00AD7182">
      <w:pPr>
        <w:spacing w:line="360" w:lineRule="auto"/>
        <w:ind w:firstLine="708"/>
        <w:rPr>
          <w:sz w:val="28"/>
          <w:szCs w:val="28"/>
        </w:rPr>
      </w:pPr>
      <w:r w:rsidRPr="00F25C3D">
        <w:rPr>
          <w:sz w:val="28"/>
          <w:szCs w:val="28"/>
        </w:rPr>
        <w:t>Así, por esta nuestra Sentencia, lo pronunciamos, mandamos y firmamos.</w:t>
      </w:r>
    </w:p>
    <w:p w14:paraId="10C6530C" w14:textId="77777777" w:rsidR="002D22C5" w:rsidRPr="00F25C3D" w:rsidRDefault="002D22C5" w:rsidP="00AD7182">
      <w:pPr>
        <w:spacing w:line="360" w:lineRule="auto"/>
        <w:rPr>
          <w:sz w:val="28"/>
          <w:szCs w:val="28"/>
        </w:rPr>
      </w:pPr>
    </w:p>
    <w:p w14:paraId="236CAFD4" w14:textId="77777777" w:rsidR="00902AEF" w:rsidRPr="00F25C3D" w:rsidRDefault="00902AEF" w:rsidP="00AD7182">
      <w:pPr>
        <w:spacing w:line="360" w:lineRule="auto"/>
        <w:rPr>
          <w:sz w:val="28"/>
          <w:szCs w:val="28"/>
        </w:rPr>
      </w:pPr>
    </w:p>
    <w:p w14:paraId="1BA221E6" w14:textId="77777777" w:rsidR="00902AEF" w:rsidRPr="00F25C3D" w:rsidRDefault="00902AEF" w:rsidP="00AD7182">
      <w:pPr>
        <w:spacing w:line="360" w:lineRule="auto"/>
        <w:rPr>
          <w:sz w:val="28"/>
          <w:szCs w:val="28"/>
        </w:rPr>
      </w:pPr>
    </w:p>
    <w:p w14:paraId="35FB2BC7" w14:textId="77777777" w:rsidR="00F87B01" w:rsidRPr="00F25C3D" w:rsidRDefault="00F87B01" w:rsidP="00AD7182">
      <w:pPr>
        <w:widowControl w:val="0"/>
        <w:autoSpaceDE w:val="0"/>
        <w:autoSpaceDN w:val="0"/>
        <w:adjustRightInd w:val="0"/>
        <w:spacing w:line="360" w:lineRule="auto"/>
        <w:rPr>
          <w:sz w:val="28"/>
          <w:szCs w:val="28"/>
        </w:rPr>
      </w:pPr>
    </w:p>
    <w:p w14:paraId="7FCB461C" w14:textId="77777777" w:rsidR="00902AEF" w:rsidRPr="00F25C3D" w:rsidRDefault="00902AEF" w:rsidP="00AD7182">
      <w:pPr>
        <w:widowControl w:val="0"/>
        <w:autoSpaceDE w:val="0"/>
        <w:autoSpaceDN w:val="0"/>
        <w:adjustRightInd w:val="0"/>
        <w:spacing w:line="360" w:lineRule="auto"/>
        <w:rPr>
          <w:sz w:val="28"/>
          <w:szCs w:val="28"/>
        </w:rPr>
      </w:pPr>
    </w:p>
    <w:p w14:paraId="344D91B0" w14:textId="77777777" w:rsidR="00902AEF" w:rsidRPr="00F25C3D" w:rsidRDefault="00902AEF" w:rsidP="00AD7182">
      <w:pPr>
        <w:widowControl w:val="0"/>
        <w:autoSpaceDE w:val="0"/>
        <w:autoSpaceDN w:val="0"/>
        <w:adjustRightInd w:val="0"/>
        <w:spacing w:line="360" w:lineRule="auto"/>
        <w:rPr>
          <w:sz w:val="28"/>
          <w:szCs w:val="28"/>
        </w:rPr>
      </w:pPr>
    </w:p>
    <w:p w14:paraId="1EDAEDF9" w14:textId="77777777" w:rsidR="00902AEF" w:rsidRPr="00F25C3D" w:rsidRDefault="00902AEF" w:rsidP="00AD7182">
      <w:pPr>
        <w:widowControl w:val="0"/>
        <w:autoSpaceDE w:val="0"/>
        <w:autoSpaceDN w:val="0"/>
        <w:adjustRightInd w:val="0"/>
        <w:spacing w:line="360" w:lineRule="auto"/>
        <w:rPr>
          <w:sz w:val="28"/>
          <w:szCs w:val="28"/>
        </w:rPr>
      </w:pPr>
    </w:p>
    <w:p w14:paraId="4FE8258D" w14:textId="77777777" w:rsidR="00AF3821" w:rsidRPr="00F25C3D" w:rsidRDefault="00742501" w:rsidP="00AD7182">
      <w:pPr>
        <w:widowControl w:val="0"/>
        <w:autoSpaceDE w:val="0"/>
        <w:autoSpaceDN w:val="0"/>
        <w:adjustRightInd w:val="0"/>
        <w:spacing w:line="360" w:lineRule="auto"/>
        <w:rPr>
          <w:sz w:val="18"/>
          <w:szCs w:val="18"/>
        </w:rPr>
      </w:pPr>
      <w:r w:rsidRPr="00F25C3D">
        <w:rPr>
          <w:sz w:val="18"/>
          <w:szCs w:val="18"/>
        </w:rPr>
        <w:t>L</w:t>
      </w:r>
      <w:r w:rsidR="00AF3821" w:rsidRPr="00F25C3D">
        <w:rPr>
          <w:sz w:val="18"/>
          <w:szCs w:val="18"/>
        </w:rPr>
        <w:t xml:space="preserve">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 o a la garantía del anonimato de las víctimas </w:t>
      </w:r>
      <w:r w:rsidR="00902AEF" w:rsidRPr="00F25C3D">
        <w:rPr>
          <w:sz w:val="18"/>
          <w:szCs w:val="18"/>
        </w:rPr>
        <w:t>o perjudicados, cuando proceda.</w:t>
      </w:r>
    </w:p>
    <w:p w14:paraId="17F55FA0" w14:textId="77777777" w:rsidR="006B34A6" w:rsidRPr="00F25C3D" w:rsidRDefault="00902AEF" w:rsidP="00AD7182">
      <w:pPr>
        <w:widowControl w:val="0"/>
        <w:autoSpaceDE w:val="0"/>
        <w:autoSpaceDN w:val="0"/>
        <w:adjustRightInd w:val="0"/>
        <w:spacing w:line="360" w:lineRule="auto"/>
        <w:rPr>
          <w:sz w:val="18"/>
          <w:szCs w:val="18"/>
        </w:rPr>
      </w:pPr>
      <w:r w:rsidRPr="00F25C3D">
        <w:rPr>
          <w:sz w:val="18"/>
          <w:szCs w:val="18"/>
        </w:rPr>
        <w:t>Los d</w:t>
      </w:r>
      <w:r w:rsidR="00AF3821" w:rsidRPr="00F25C3D">
        <w:rPr>
          <w:sz w:val="18"/>
          <w:szCs w:val="18"/>
        </w:rPr>
        <w:t>atos personales incluidos en esta resolución no podrán ser cedidos, ni comunicados con fines contrarios a las leyes.</w:t>
      </w:r>
    </w:p>
    <w:p w14:paraId="3B6248F4" w14:textId="77777777" w:rsidR="00AA49FB" w:rsidRPr="00F25C3D" w:rsidRDefault="00AA49FB" w:rsidP="00AD7182">
      <w:pPr>
        <w:widowControl w:val="0"/>
        <w:autoSpaceDE w:val="0"/>
        <w:autoSpaceDN w:val="0"/>
        <w:adjustRightInd w:val="0"/>
        <w:spacing w:line="360" w:lineRule="auto"/>
        <w:rPr>
          <w:sz w:val="18"/>
          <w:szCs w:val="18"/>
          <w:lang w:val="es-ES_tradnl" w:eastAsia="es-ES"/>
        </w:rPr>
      </w:pPr>
    </w:p>
    <w:sectPr w:rsidR="00AA49FB" w:rsidRPr="00F25C3D" w:rsidSect="00AA49FB">
      <w:headerReference w:type="even" r:id="rId9"/>
      <w:headerReference w:type="default" r:id="rId10"/>
      <w:footerReference w:type="even" r:id="rId11"/>
      <w:footerReference w:type="default" r:id="rId12"/>
      <w:headerReference w:type="first" r:id="rId13"/>
      <w:footerReference w:type="first" r:id="rId14"/>
      <w:pgSz w:w="11907" w:h="16840"/>
      <w:pgMar w:top="1417" w:right="964" w:bottom="1701" w:left="19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D97B" w14:textId="77777777" w:rsidR="00340ADF" w:rsidRDefault="00340ADF">
      <w:r>
        <w:separator/>
      </w:r>
    </w:p>
  </w:endnote>
  <w:endnote w:type="continuationSeparator" w:id="0">
    <w:p w14:paraId="194CC164" w14:textId="77777777" w:rsidR="00340ADF" w:rsidRDefault="0034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2C2E" w14:textId="77777777" w:rsidR="007A5115" w:rsidRDefault="007A51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8E26" w14:textId="77777777" w:rsidR="008B4437" w:rsidRPr="00AA49FB" w:rsidRDefault="008B4437" w:rsidP="008B4437">
    <w:pPr>
      <w:pStyle w:val="Piedepgina"/>
      <w:rPr>
        <w:sz w:val="18"/>
      </w:rPr>
    </w:pPr>
    <w:r w:rsidRPr="00AA49FB">
      <w:rPr>
        <w:sz w:val="18"/>
      </w:rPr>
      <w:t xml:space="preserve">Sección </w:t>
    </w:r>
    <w:proofErr w:type="spellStart"/>
    <w:r w:rsidRPr="00AA49FB">
      <w:rPr>
        <w:sz w:val="18"/>
      </w:rPr>
      <w:t>nº</w:t>
    </w:r>
    <w:proofErr w:type="spellEnd"/>
    <w:r w:rsidRPr="00AA49FB">
      <w:rPr>
        <w:sz w:val="18"/>
      </w:rPr>
      <w:t xml:space="preserve"> 13 de la Audiencia Provincial de Madrid - Recurso de Apelación - 500/2019</w:t>
    </w:r>
    <w:r w:rsidRPr="00AA49FB">
      <w:rPr>
        <w:sz w:val="18"/>
      </w:rPr>
      <w:tab/>
    </w:r>
    <w:r w:rsidRPr="00AA49FB">
      <w:rPr>
        <w:sz w:val="18"/>
      </w:rPr>
      <w:fldChar w:fldCharType="begin"/>
    </w:r>
    <w:r w:rsidRPr="00AA49FB">
      <w:rPr>
        <w:sz w:val="18"/>
      </w:rPr>
      <w:instrText xml:space="preserve"> PAGE   \* MERGEFORMAT </w:instrText>
    </w:r>
    <w:r w:rsidRPr="00AA49FB">
      <w:rPr>
        <w:sz w:val="18"/>
      </w:rPr>
      <w:fldChar w:fldCharType="separate"/>
    </w:r>
    <w:r w:rsidR="002F63E2">
      <w:rPr>
        <w:noProof/>
        <w:sz w:val="18"/>
      </w:rPr>
      <w:t>2</w:t>
    </w:r>
    <w:r w:rsidRPr="00AA49FB">
      <w:rPr>
        <w:sz w:val="18"/>
      </w:rPr>
      <w:fldChar w:fldCharType="end"/>
    </w:r>
    <w:r w:rsidRPr="00AA49FB">
      <w:rPr>
        <w:sz w:val="18"/>
      </w:rPr>
      <w:t xml:space="preserve"> de </w:t>
    </w:r>
    <w:r w:rsidRPr="00AA49FB">
      <w:rPr>
        <w:sz w:val="18"/>
      </w:rPr>
      <w:fldChar w:fldCharType="begin"/>
    </w:r>
    <w:r w:rsidRPr="00AA49FB">
      <w:rPr>
        <w:sz w:val="18"/>
      </w:rPr>
      <w:instrText xml:space="preserve"> NUMPAGES   \* MERGEFORMAT </w:instrText>
    </w:r>
    <w:r w:rsidRPr="00AA49FB">
      <w:rPr>
        <w:sz w:val="18"/>
      </w:rPr>
      <w:fldChar w:fldCharType="separate"/>
    </w:r>
    <w:r w:rsidR="002F63E2">
      <w:rPr>
        <w:noProof/>
        <w:sz w:val="18"/>
      </w:rPr>
      <w:t>2</w:t>
    </w:r>
    <w:r w:rsidRPr="00AA49F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AA2A" w14:textId="77777777" w:rsidR="007A5115" w:rsidRDefault="007A51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D641" w14:textId="77777777" w:rsidR="00340ADF" w:rsidRDefault="00340ADF">
      <w:r>
        <w:separator/>
      </w:r>
    </w:p>
  </w:footnote>
  <w:footnote w:type="continuationSeparator" w:id="0">
    <w:p w14:paraId="577D5D59" w14:textId="77777777" w:rsidR="00340ADF" w:rsidRDefault="0034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714C" w14:textId="77777777" w:rsidR="007A5115" w:rsidRDefault="007A51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941F" w14:textId="77777777" w:rsidR="007A5115" w:rsidRDefault="007A51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17D2" w14:textId="77777777" w:rsidR="007A5115" w:rsidRDefault="007A51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D40E3"/>
    <w:rsid w:val="00022B00"/>
    <w:rsid w:val="000B7747"/>
    <w:rsid w:val="000C5F15"/>
    <w:rsid w:val="002163C7"/>
    <w:rsid w:val="002523FB"/>
    <w:rsid w:val="002D22C5"/>
    <w:rsid w:val="002F2D52"/>
    <w:rsid w:val="002F406D"/>
    <w:rsid w:val="002F63E2"/>
    <w:rsid w:val="00331076"/>
    <w:rsid w:val="00340ADF"/>
    <w:rsid w:val="003E2509"/>
    <w:rsid w:val="00405857"/>
    <w:rsid w:val="004243C8"/>
    <w:rsid w:val="0042776D"/>
    <w:rsid w:val="0043152C"/>
    <w:rsid w:val="004666F9"/>
    <w:rsid w:val="00474AD6"/>
    <w:rsid w:val="004833D0"/>
    <w:rsid w:val="00484441"/>
    <w:rsid w:val="0052754F"/>
    <w:rsid w:val="00541EDD"/>
    <w:rsid w:val="00544496"/>
    <w:rsid w:val="00582476"/>
    <w:rsid w:val="0058586E"/>
    <w:rsid w:val="00586625"/>
    <w:rsid w:val="005E46B0"/>
    <w:rsid w:val="00610B51"/>
    <w:rsid w:val="00615A96"/>
    <w:rsid w:val="006B34A6"/>
    <w:rsid w:val="00742501"/>
    <w:rsid w:val="007A5115"/>
    <w:rsid w:val="007B400A"/>
    <w:rsid w:val="007B574D"/>
    <w:rsid w:val="007C4786"/>
    <w:rsid w:val="007D03CC"/>
    <w:rsid w:val="007F180A"/>
    <w:rsid w:val="00823FE7"/>
    <w:rsid w:val="008B4437"/>
    <w:rsid w:val="008D40E3"/>
    <w:rsid w:val="008F46DF"/>
    <w:rsid w:val="00902AEF"/>
    <w:rsid w:val="00903C2E"/>
    <w:rsid w:val="009D4BDB"/>
    <w:rsid w:val="009F2FF7"/>
    <w:rsid w:val="009F37A7"/>
    <w:rsid w:val="00A4142B"/>
    <w:rsid w:val="00A416BA"/>
    <w:rsid w:val="00A652AB"/>
    <w:rsid w:val="00AA49FB"/>
    <w:rsid w:val="00AD7182"/>
    <w:rsid w:val="00AF3821"/>
    <w:rsid w:val="00AF4920"/>
    <w:rsid w:val="00B37D7A"/>
    <w:rsid w:val="00B93C13"/>
    <w:rsid w:val="00C953F1"/>
    <w:rsid w:val="00CB4F7A"/>
    <w:rsid w:val="00CD6159"/>
    <w:rsid w:val="00D53FBF"/>
    <w:rsid w:val="00DD1916"/>
    <w:rsid w:val="00E410DD"/>
    <w:rsid w:val="00E424B8"/>
    <w:rsid w:val="00EC52B1"/>
    <w:rsid w:val="00ED071D"/>
    <w:rsid w:val="00F25C3D"/>
    <w:rsid w:val="00F87B01"/>
    <w:rsid w:val="00F91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9DC496"/>
  <w14:defaultImageDpi w14:val="0"/>
  <w15:docId w15:val="{0EBA8D4D-5AD4-46F7-AA76-A7D56EE9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BA"/>
    <w:pPr>
      <w:spacing w:line="259" w:lineRule="atLeast"/>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Sangrado">
    <w:name w:val="Sin Sangrado"/>
    <w:basedOn w:val="Normal"/>
    <w:next w:val="Normal"/>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_tradnl" w:eastAsia="x-non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eastAsia="x-none"/>
    </w:rPr>
  </w:style>
  <w:style w:type="character" w:styleId="Nmerodepgina">
    <w:name w:val="page number"/>
    <w:basedOn w:val="Fuentedeprrafopredeter"/>
    <w:uiPriority w:val="99"/>
    <w:rPr>
      <w:rFonts w:ascii="Times New Roman" w:hAnsi="Times New Roman" w:cs="Times New Roman"/>
    </w:rPr>
  </w:style>
  <w:style w:type="paragraph" w:customStyle="1" w:styleId="DatosAsunto">
    <w:name w:val="Datos Asunto"/>
    <w:basedOn w:val="Normal"/>
    <w:next w:val="Normal"/>
    <w:uiPriority w:val="99"/>
    <w:rPr>
      <w:sz w:val="16"/>
      <w:szCs w:val="16"/>
    </w:rPr>
  </w:style>
  <w:style w:type="paragraph" w:customStyle="1" w:styleId="Destacado">
    <w:name w:val="Destacado"/>
    <w:basedOn w:val="Normal"/>
    <w:next w:val="Normal"/>
    <w:uiPriority w:val="99"/>
    <w:pPr>
      <w:jc w:val="left"/>
    </w:pPr>
    <w:rPr>
      <w:sz w:val="16"/>
      <w:szCs w:val="16"/>
    </w:rPr>
  </w:style>
  <w:style w:type="paragraph" w:customStyle="1" w:styleId="TituloCabecera">
    <w:name w:val="Titulo Cabecera"/>
    <w:basedOn w:val="Normal"/>
    <w:next w:val="Normal"/>
    <w:uiPriority w:val="99"/>
    <w:pPr>
      <w:jc w:val="left"/>
    </w:pPr>
    <w:rPr>
      <w:sz w:val="32"/>
      <w:szCs w:val="32"/>
    </w:rPr>
  </w:style>
  <w:style w:type="paragraph" w:styleId="Textodeglobo">
    <w:name w:val="Balloon Text"/>
    <w:basedOn w:val="Normal"/>
    <w:link w:val="TextodegloboCar"/>
    <w:uiPriority w:val="99"/>
    <w:semiHidden/>
    <w:rPr>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16"/>
      <w:szCs w:val="16"/>
      <w:lang w:val="es-ES_tradnl" w:eastAsia="x-none"/>
    </w:rPr>
  </w:style>
  <w:style w:type="character" w:customStyle="1" w:styleId="jur">
    <w:name w:val="jur"/>
    <w:basedOn w:val="Fuentedeprrafopredeter"/>
    <w:rsid w:val="004844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75019">
      <w:marLeft w:val="0"/>
      <w:marRight w:val="0"/>
      <w:marTop w:val="0"/>
      <w:marBottom w:val="0"/>
      <w:divBdr>
        <w:top w:val="none" w:sz="0" w:space="0" w:color="auto"/>
        <w:left w:val="none" w:sz="0" w:space="0" w:color="auto"/>
        <w:bottom w:val="none" w:sz="0" w:space="0" w:color="auto"/>
        <w:right w:val="none" w:sz="0" w:space="0" w:color="auto"/>
      </w:divBdr>
    </w:div>
    <w:div w:id="1923375020">
      <w:marLeft w:val="0"/>
      <w:marRight w:val="0"/>
      <w:marTop w:val="0"/>
      <w:marBottom w:val="0"/>
      <w:divBdr>
        <w:top w:val="none" w:sz="0" w:space="0" w:color="auto"/>
        <w:left w:val="none" w:sz="0" w:space="0" w:color="auto"/>
        <w:bottom w:val="none" w:sz="0" w:space="0" w:color="auto"/>
        <w:right w:val="none" w:sz="0" w:space="0" w:color="auto"/>
      </w:divBdr>
    </w:div>
    <w:div w:id="1923375021">
      <w:marLeft w:val="0"/>
      <w:marRight w:val="0"/>
      <w:marTop w:val="0"/>
      <w:marBottom w:val="0"/>
      <w:divBdr>
        <w:top w:val="none" w:sz="0" w:space="0" w:color="auto"/>
        <w:left w:val="none" w:sz="0" w:space="0" w:color="auto"/>
        <w:bottom w:val="none" w:sz="0" w:space="0" w:color="auto"/>
        <w:right w:val="none" w:sz="0" w:space="0" w:color="auto"/>
      </w:divBdr>
    </w:div>
    <w:div w:id="19233750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0B4C-C0B2-475E-8B62-46CDC400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8764</Words>
  <Characters>45050</Characters>
  <Application>Microsoft Office Word</Application>
  <DocSecurity>4</DocSecurity>
  <Lines>375</Lines>
  <Paragraphs>107</Paragraphs>
  <ScaleCrop>false</ScaleCrop>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Miguel Angel Duran</cp:lastModifiedBy>
  <cp:revision>2</cp:revision>
  <dcterms:created xsi:type="dcterms:W3CDTF">2020-02-20T18:33:00Z</dcterms:created>
  <dcterms:modified xsi:type="dcterms:W3CDTF">2020-02-20T18:33:00Z</dcterms:modified>
</cp:coreProperties>
</file>