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BF95" w14:textId="6F391A30" w:rsidR="002D2117" w:rsidRPr="003948C4" w:rsidRDefault="006E11FC" w:rsidP="003948C4">
      <w:pPr>
        <w:spacing w:line="360" w:lineRule="auto"/>
        <w:jc w:val="both"/>
        <w:rPr>
          <w:b/>
        </w:rPr>
      </w:pPr>
      <w:r>
        <w:rPr>
          <w:b/>
        </w:rPr>
        <w:t xml:space="preserve">LA AUDIENCIA PROVINCIAL DE VALENCIA CONFIRMA LA SENTENCIA QUE CONDENA A </w:t>
      </w:r>
      <w:r w:rsidR="003948C4" w:rsidRPr="003948C4">
        <w:rPr>
          <w:b/>
        </w:rPr>
        <w:t xml:space="preserve">BBVA A </w:t>
      </w:r>
      <w:proofErr w:type="gramStart"/>
      <w:r w:rsidR="003948C4" w:rsidRPr="003948C4">
        <w:rPr>
          <w:b/>
        </w:rPr>
        <w:t xml:space="preserve">DEVOLVER  </w:t>
      </w:r>
      <w:r>
        <w:rPr>
          <w:b/>
        </w:rPr>
        <w:t>A</w:t>
      </w:r>
      <w:proofErr w:type="gramEnd"/>
      <w:r w:rsidR="00257A6D">
        <w:rPr>
          <w:b/>
        </w:rPr>
        <w:t xml:space="preserve"> UNA EMPRESA</w:t>
      </w:r>
      <w:r>
        <w:rPr>
          <w:b/>
        </w:rPr>
        <w:t xml:space="preserve"> CIENTO CINCUENTA Y OCHO MIL CUATROCIENTOS TREINTA Y SIETE EUROS</w:t>
      </w:r>
      <w:r w:rsidR="00257A6D">
        <w:rPr>
          <w:b/>
        </w:rPr>
        <w:t xml:space="preserve"> </w:t>
      </w:r>
      <w:r>
        <w:rPr>
          <w:b/>
        </w:rPr>
        <w:t>(</w:t>
      </w:r>
      <w:r w:rsidR="00257A6D">
        <w:rPr>
          <w:b/>
        </w:rPr>
        <w:t>158.437</w:t>
      </w:r>
      <w:r w:rsidR="003948C4" w:rsidRPr="003948C4">
        <w:rPr>
          <w:b/>
        </w:rPr>
        <w:t>€</w:t>
      </w:r>
      <w:r>
        <w:rPr>
          <w:b/>
        </w:rPr>
        <w:t>) INVERTIDOS EN BONOS DE ABENGOA.</w:t>
      </w:r>
    </w:p>
    <w:p w14:paraId="266F9577" w14:textId="77777777" w:rsidR="003948C4" w:rsidRDefault="003948C4" w:rsidP="003948C4">
      <w:pPr>
        <w:spacing w:line="360" w:lineRule="auto"/>
        <w:jc w:val="both"/>
      </w:pPr>
    </w:p>
    <w:p w14:paraId="7F980D9E" w14:textId="3775E55A" w:rsidR="006E11FC" w:rsidRDefault="006E11FC" w:rsidP="003948C4">
      <w:pPr>
        <w:spacing w:line="360" w:lineRule="auto"/>
        <w:jc w:val="both"/>
      </w:pPr>
      <w:r>
        <w:t xml:space="preserve">En fecha 30 de abril de 2015, es decir, a escasos meses de que ABENGOA presentase solicitud de </w:t>
      </w:r>
      <w:proofErr w:type="spellStart"/>
      <w:r>
        <w:t>preconcurso</w:t>
      </w:r>
      <w:proofErr w:type="spellEnd"/>
      <w:r>
        <w:t xml:space="preserve">, BBVA, S.A. colocó a una sociedad BONOS DE ABENGOA, sin informar ni de los riesgos ni de la situación en que ABENGOA se encontraba. </w:t>
      </w:r>
    </w:p>
    <w:p w14:paraId="09D58E14" w14:textId="77777777" w:rsidR="006E11FC" w:rsidRDefault="006E11FC" w:rsidP="003948C4">
      <w:pPr>
        <w:spacing w:line="360" w:lineRule="auto"/>
        <w:jc w:val="both"/>
      </w:pPr>
    </w:p>
    <w:p w14:paraId="20FD2755" w14:textId="0DDE0B73" w:rsidR="006E11FC" w:rsidRDefault="006E11FC" w:rsidP="003948C4">
      <w:pPr>
        <w:spacing w:line="360" w:lineRule="auto"/>
        <w:jc w:val="both"/>
      </w:pPr>
      <w:r>
        <w:t xml:space="preserve">Al perder la </w:t>
      </w:r>
      <w:r w:rsidR="0008624B">
        <w:t>sociedad cliente</w:t>
      </w:r>
      <w:r>
        <w:t xml:space="preserve"> todo el dinero invertido, encomendó al Departamento de Derecho Civil de DURAN &amp; DURAN ABOGADOS, la interposición de demanda contra BBVA. </w:t>
      </w:r>
    </w:p>
    <w:p w14:paraId="3299D038" w14:textId="77777777" w:rsidR="006E11FC" w:rsidRDefault="006E11FC" w:rsidP="003948C4">
      <w:pPr>
        <w:spacing w:line="360" w:lineRule="auto"/>
        <w:jc w:val="both"/>
      </w:pPr>
    </w:p>
    <w:p w14:paraId="21E79C9D" w14:textId="3AE3FE7B" w:rsidR="003948C4" w:rsidRDefault="006E11FC" w:rsidP="003948C4">
      <w:pPr>
        <w:spacing w:line="360" w:lineRule="auto"/>
        <w:jc w:val="both"/>
      </w:pPr>
      <w:r>
        <w:t>El Juzgado de Primera Instancia</w:t>
      </w:r>
      <w:r w:rsidR="003948C4">
        <w:t xml:space="preserve"> estimó la demanda</w:t>
      </w:r>
      <w:r>
        <w:t xml:space="preserve">, declarando la nulidad de la adquisición de los </w:t>
      </w:r>
      <w:proofErr w:type="gramStart"/>
      <w:r>
        <w:t xml:space="preserve">bonos, </w:t>
      </w:r>
      <w:r w:rsidR="003948C4">
        <w:t xml:space="preserve"> </w:t>
      </w:r>
      <w:r>
        <w:t>(</w:t>
      </w:r>
      <w:proofErr w:type="gramEnd"/>
      <w:r w:rsidR="003948C4">
        <w:t>en virtud de lo establecido en el art. 1.303 del Código civil</w:t>
      </w:r>
      <w:r>
        <w:t>)</w:t>
      </w:r>
      <w:r w:rsidR="003948C4">
        <w:t>,</w:t>
      </w:r>
      <w:r>
        <w:t xml:space="preserve"> y condenando a BBVA, S.A. a devolver el total importe invertido con intereses legales desde la fecha de la inversión.</w:t>
      </w:r>
    </w:p>
    <w:p w14:paraId="4D6FEB4E" w14:textId="57A6884D" w:rsidR="00A55419" w:rsidRDefault="00A55419" w:rsidP="003948C4">
      <w:pPr>
        <w:spacing w:line="360" w:lineRule="auto"/>
        <w:jc w:val="both"/>
      </w:pPr>
    </w:p>
    <w:p w14:paraId="59A2F8FC" w14:textId="12C15D4C" w:rsidR="00A55419" w:rsidRDefault="006E11FC" w:rsidP="006E11FC">
      <w:pPr>
        <w:spacing w:line="360" w:lineRule="auto"/>
        <w:jc w:val="both"/>
      </w:pPr>
      <w:r>
        <w:t>BBVA, S.A. recurrió en apelación la sentencia, alegando, en síntesis:</w:t>
      </w:r>
    </w:p>
    <w:p w14:paraId="5C36B9BB" w14:textId="77777777" w:rsidR="00BF7B2A" w:rsidRDefault="00BF7B2A" w:rsidP="003948C4">
      <w:pPr>
        <w:spacing w:line="360" w:lineRule="auto"/>
        <w:jc w:val="both"/>
      </w:pPr>
    </w:p>
    <w:p w14:paraId="3A802123" w14:textId="77777777" w:rsidR="00BF7B2A" w:rsidRDefault="00BF7B2A" w:rsidP="00BF7B2A">
      <w:pPr>
        <w:pStyle w:val="Prrafodelista"/>
        <w:numPr>
          <w:ilvl w:val="0"/>
          <w:numId w:val="1"/>
        </w:numPr>
        <w:spacing w:line="360" w:lineRule="auto"/>
        <w:jc w:val="both"/>
      </w:pPr>
      <w:r>
        <w:t>Ausencia de error en el consentimiento por parte de la entidad actora.</w:t>
      </w:r>
    </w:p>
    <w:p w14:paraId="60840C43" w14:textId="77777777" w:rsidR="00BF7B2A" w:rsidRDefault="00BF7B2A" w:rsidP="00BF7B2A">
      <w:pPr>
        <w:pStyle w:val="Prrafodelista"/>
        <w:numPr>
          <w:ilvl w:val="0"/>
          <w:numId w:val="1"/>
        </w:numPr>
        <w:spacing w:line="360" w:lineRule="auto"/>
        <w:jc w:val="both"/>
      </w:pPr>
      <w:r>
        <w:t>Cumplimiento por parte de la demandada de todas las obligaciones exigidas por la Ley, catalogando los bonos de ABENGOA como no complejos.</w:t>
      </w:r>
    </w:p>
    <w:p w14:paraId="44D74A4B" w14:textId="77777777" w:rsidR="00BF7B2A" w:rsidRPr="003948C4" w:rsidRDefault="00BF7B2A" w:rsidP="00BF7B2A">
      <w:pPr>
        <w:pStyle w:val="Prrafodelista"/>
        <w:numPr>
          <w:ilvl w:val="0"/>
          <w:numId w:val="1"/>
        </w:numPr>
        <w:spacing w:line="360" w:lineRule="auto"/>
        <w:jc w:val="both"/>
      </w:pPr>
      <w:r>
        <w:t>Error en la valoración de la prueba.</w:t>
      </w:r>
    </w:p>
    <w:p w14:paraId="124A04ED" w14:textId="77777777" w:rsidR="003948C4" w:rsidRDefault="003948C4" w:rsidP="003948C4">
      <w:pPr>
        <w:spacing w:line="360" w:lineRule="auto"/>
        <w:jc w:val="both"/>
      </w:pPr>
    </w:p>
    <w:p w14:paraId="7E8059B9" w14:textId="524AAAE7" w:rsidR="0008624B" w:rsidRDefault="0008624B" w:rsidP="0045788D">
      <w:pPr>
        <w:spacing w:line="360" w:lineRule="auto"/>
        <w:ind w:firstLine="360"/>
        <w:jc w:val="both"/>
      </w:pPr>
      <w:r w:rsidRPr="0045788D">
        <w:rPr>
          <w:b/>
          <w:bCs/>
        </w:rPr>
        <w:t xml:space="preserve">El recurso de apelación interpuesto por BBVA, S.A. </w:t>
      </w:r>
      <w:r w:rsidR="0045788D" w:rsidRPr="0045788D">
        <w:rPr>
          <w:b/>
          <w:bCs/>
        </w:rPr>
        <w:t>ha</w:t>
      </w:r>
      <w:r w:rsidRPr="0045788D">
        <w:rPr>
          <w:b/>
          <w:bCs/>
        </w:rPr>
        <w:t xml:space="preserve"> sido totalmente desestimado,</w:t>
      </w:r>
      <w:r w:rsidR="0045788D" w:rsidRPr="0045788D">
        <w:rPr>
          <w:b/>
          <w:bCs/>
        </w:rPr>
        <w:t xml:space="preserve"> por la SECCIÓN OCTAVA de la AUDIENCIA PROVINCIAL DE VALENCIA, compuesta por los </w:t>
      </w:r>
      <w:proofErr w:type="spellStart"/>
      <w:r w:rsidR="0045788D" w:rsidRPr="0045788D">
        <w:rPr>
          <w:b/>
          <w:bCs/>
        </w:rPr>
        <w:t>Ilmos</w:t>
      </w:r>
      <w:proofErr w:type="spellEnd"/>
      <w:r w:rsidR="0045788D" w:rsidRPr="0045788D">
        <w:rPr>
          <w:b/>
          <w:bCs/>
        </w:rPr>
        <w:t xml:space="preserve">. Magistrados, D. </w:t>
      </w:r>
      <w:r w:rsidR="0045788D" w:rsidRPr="0045788D">
        <w:rPr>
          <w:b/>
          <w:bCs/>
        </w:rPr>
        <w:t>PEDRO LUIS VIGUER SOLE</w:t>
      </w:r>
      <w:r w:rsidR="0045788D" w:rsidRPr="0045788D">
        <w:rPr>
          <w:b/>
          <w:bCs/>
        </w:rPr>
        <w:t xml:space="preserve">, D. </w:t>
      </w:r>
      <w:r w:rsidR="0045788D" w:rsidRPr="0045788D">
        <w:rPr>
          <w:b/>
          <w:bCs/>
        </w:rPr>
        <w:t>JOSÉ LUIS GÓMEZ-MORENO MORA</w:t>
      </w:r>
      <w:r w:rsidR="0045788D" w:rsidRPr="0045788D">
        <w:rPr>
          <w:b/>
          <w:bCs/>
        </w:rPr>
        <w:t xml:space="preserve"> y DÑA. </w:t>
      </w:r>
      <w:proofErr w:type="spellStart"/>
      <w:r w:rsidR="0045788D" w:rsidRPr="0045788D">
        <w:rPr>
          <w:b/>
          <w:bCs/>
        </w:rPr>
        <w:t>Mª</w:t>
      </w:r>
      <w:proofErr w:type="spellEnd"/>
      <w:r w:rsidR="0045788D" w:rsidRPr="0045788D">
        <w:rPr>
          <w:b/>
          <w:bCs/>
        </w:rPr>
        <w:t xml:space="preserve"> FE ORTEGA MIFSUD</w:t>
      </w:r>
      <w:r w:rsidR="0045788D" w:rsidRPr="0045788D">
        <w:rPr>
          <w:b/>
          <w:bCs/>
        </w:rPr>
        <w:t xml:space="preserve">, </w:t>
      </w:r>
      <w:r w:rsidRPr="0045788D">
        <w:rPr>
          <w:b/>
          <w:bCs/>
        </w:rPr>
        <w:t>confirmando la sentencia dictada en primera instancia</w:t>
      </w:r>
      <w:r>
        <w:t>, señalando la Audiencia Provincial de Valencia lo siguiente:</w:t>
      </w:r>
    </w:p>
    <w:p w14:paraId="39E6E3A9" w14:textId="14EDE554" w:rsidR="0008624B" w:rsidRDefault="0008624B" w:rsidP="00BF7B2A">
      <w:pPr>
        <w:spacing w:line="360" w:lineRule="auto"/>
        <w:jc w:val="both"/>
      </w:pPr>
    </w:p>
    <w:p w14:paraId="0C88355C" w14:textId="77777777" w:rsidR="0008624B" w:rsidRDefault="0008624B" w:rsidP="00BF7B2A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t xml:space="preserve">Los Bonos de ABENGOA constituyen un producto complejo, sin lugar a dudas, puesto que, incluso, </w:t>
      </w:r>
      <w:r w:rsidR="00BF7B2A" w:rsidRPr="00BF7B2A">
        <w:rPr>
          <w:lang w:val="es-ES"/>
        </w:rPr>
        <w:t xml:space="preserve">la Comisión Nacional del Mercado de Valores </w:t>
      </w:r>
      <w:r>
        <w:rPr>
          <w:lang w:val="es-ES"/>
        </w:rPr>
        <w:t xml:space="preserve">tenía </w:t>
      </w:r>
      <w:r>
        <w:rPr>
          <w:lang w:val="es-ES"/>
        </w:rPr>
        <w:lastRenderedPageBreak/>
        <w:t xml:space="preserve">establecido que </w:t>
      </w:r>
      <w:r w:rsidR="00BF7B2A" w:rsidRPr="00BF7B2A">
        <w:rPr>
          <w:lang w:val="es-ES"/>
        </w:rPr>
        <w:t xml:space="preserve">"aquellos bonos u otro tipo de deuda que incorporan una opción de amortización anticipada para el emisor, el tenedor o para ambos, no pueden catalogarse como no complejos". </w:t>
      </w:r>
    </w:p>
    <w:p w14:paraId="1130FE8C" w14:textId="77777777" w:rsidR="0008624B" w:rsidRDefault="0008624B" w:rsidP="0008624B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L</w:t>
      </w:r>
      <w:r w:rsidR="00BF7B2A" w:rsidRPr="0008624B">
        <w:rPr>
          <w:lang w:val="es-ES"/>
        </w:rPr>
        <w:t xml:space="preserve">a complejidad del producto se desprende del </w:t>
      </w:r>
      <w:r>
        <w:rPr>
          <w:lang w:val="es-ES"/>
        </w:rPr>
        <w:t xml:space="preserve">propio </w:t>
      </w:r>
      <w:r w:rsidR="00BF7B2A" w:rsidRPr="0008624B">
        <w:rPr>
          <w:lang w:val="es-ES"/>
        </w:rPr>
        <w:t xml:space="preserve">folleto informativo, </w:t>
      </w:r>
      <w:r>
        <w:rPr>
          <w:lang w:val="es-ES"/>
        </w:rPr>
        <w:t xml:space="preserve">puesto que, además, el bonista estaba </w:t>
      </w:r>
      <w:r w:rsidR="00BF7B2A" w:rsidRPr="0008624B">
        <w:rPr>
          <w:lang w:val="es-ES"/>
        </w:rPr>
        <w:t>subordina</w:t>
      </w:r>
      <w:r>
        <w:rPr>
          <w:lang w:val="es-ES"/>
        </w:rPr>
        <w:t>do</w:t>
      </w:r>
      <w:r w:rsidR="00BF7B2A" w:rsidRPr="0008624B">
        <w:rPr>
          <w:lang w:val="es-ES"/>
        </w:rPr>
        <w:t xml:space="preserve"> al resto de acreedores de la compañía y </w:t>
      </w:r>
      <w:r>
        <w:rPr>
          <w:lang w:val="es-ES"/>
        </w:rPr>
        <w:t xml:space="preserve">ABENGOA podía, en cualquier momento, variar </w:t>
      </w:r>
      <w:r w:rsidR="00BF7B2A" w:rsidRPr="0008624B">
        <w:rPr>
          <w:lang w:val="es-ES"/>
        </w:rPr>
        <w:t>las garantías</w:t>
      </w:r>
      <w:r>
        <w:rPr>
          <w:lang w:val="es-ES"/>
        </w:rPr>
        <w:t xml:space="preserve"> del producto, hechos que no fueron en absoluto informados a la sociedad cliente de BBVA. </w:t>
      </w:r>
    </w:p>
    <w:p w14:paraId="1FCC0312" w14:textId="77777777" w:rsidR="0008624B" w:rsidRDefault="0008624B" w:rsidP="0008624B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El perfil de la sociedad y de los administradores de la sociedad a la que BBVA colocó los bonos, es sin duda alguna</w:t>
      </w:r>
      <w:r w:rsidR="00BF7B2A">
        <w:rPr>
          <w:lang w:val="es-ES"/>
        </w:rPr>
        <w:t xml:space="preserve"> minorista</w:t>
      </w:r>
      <w:r>
        <w:rPr>
          <w:lang w:val="es-ES"/>
        </w:rPr>
        <w:t>,</w:t>
      </w:r>
      <w:r w:rsidR="00BF7B2A">
        <w:rPr>
          <w:lang w:val="es-ES"/>
        </w:rPr>
        <w:t xml:space="preserve"> no profesional</w:t>
      </w:r>
      <w:r>
        <w:rPr>
          <w:lang w:val="es-ES"/>
        </w:rPr>
        <w:t>,</w:t>
      </w:r>
      <w:r w:rsidR="00BF7B2A">
        <w:rPr>
          <w:lang w:val="es-ES"/>
        </w:rPr>
        <w:t xml:space="preserve"> que confió los ahorros de muchos años en </w:t>
      </w:r>
      <w:r>
        <w:rPr>
          <w:lang w:val="es-ES"/>
        </w:rPr>
        <w:t xml:space="preserve">BBVA, entidad que le ofreció el </w:t>
      </w:r>
      <w:r w:rsidR="00BF7B2A">
        <w:rPr>
          <w:lang w:val="es-ES"/>
        </w:rPr>
        <w:t>producto</w:t>
      </w:r>
      <w:r>
        <w:rPr>
          <w:lang w:val="es-ES"/>
        </w:rPr>
        <w:t>.</w:t>
      </w:r>
    </w:p>
    <w:p w14:paraId="0894F995" w14:textId="60C08B6C" w:rsidR="0045788D" w:rsidRPr="0045788D" w:rsidRDefault="0008624B" w:rsidP="00B1105B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bCs/>
          <w:i/>
          <w:iCs/>
          <w:lang w:val="es-ES"/>
        </w:rPr>
      </w:pPr>
      <w:r w:rsidRPr="0045788D">
        <w:rPr>
          <w:lang w:val="es-ES"/>
        </w:rPr>
        <w:t>L</w:t>
      </w:r>
      <w:r w:rsidR="00311E25" w:rsidRPr="0045788D">
        <w:rPr>
          <w:lang w:val="es-ES"/>
        </w:rPr>
        <w:t xml:space="preserve">os administradores de </w:t>
      </w:r>
      <w:r w:rsidRPr="0045788D">
        <w:rPr>
          <w:lang w:val="es-ES"/>
        </w:rPr>
        <w:t xml:space="preserve">la sociedad cliente de BBVA </w:t>
      </w:r>
      <w:r w:rsidR="00311E25" w:rsidRPr="0045788D">
        <w:rPr>
          <w:lang w:val="es-ES"/>
        </w:rPr>
        <w:t xml:space="preserve">estaban dispuestos a asumir cierto riesgo, </w:t>
      </w:r>
      <w:r w:rsidR="0045788D" w:rsidRPr="0045788D">
        <w:rPr>
          <w:lang w:val="es-ES"/>
        </w:rPr>
        <w:t xml:space="preserve">pero </w:t>
      </w:r>
      <w:r w:rsidR="0045788D" w:rsidRPr="0045788D">
        <w:rPr>
          <w:lang w:val="es-ES"/>
        </w:rPr>
        <w:t>una cosa es asumir riesgos y</w:t>
      </w:r>
      <w:r w:rsidR="0045788D">
        <w:rPr>
          <w:lang w:val="es-ES"/>
        </w:rPr>
        <w:t xml:space="preserve"> como establece la Sentencia de la Audiencia Provincial:</w:t>
      </w:r>
      <w:r w:rsidR="0045788D" w:rsidRPr="0045788D">
        <w:rPr>
          <w:lang w:val="es-ES"/>
        </w:rPr>
        <w:t xml:space="preserve"> </w:t>
      </w:r>
      <w:r w:rsidR="0045788D" w:rsidRPr="0045788D">
        <w:rPr>
          <w:b/>
          <w:bCs/>
          <w:i/>
          <w:iCs/>
          <w:lang w:val="es-ES"/>
        </w:rPr>
        <w:t>“</w:t>
      </w:r>
      <w:r w:rsidR="0045788D" w:rsidRPr="0045788D">
        <w:rPr>
          <w:b/>
          <w:bCs/>
          <w:i/>
          <w:iCs/>
          <w:lang w:val="es-ES"/>
        </w:rPr>
        <w:t>otra</w:t>
      </w:r>
      <w:r w:rsidR="0045788D" w:rsidRPr="0045788D">
        <w:rPr>
          <w:b/>
          <w:bCs/>
          <w:i/>
          <w:iCs/>
          <w:lang w:val="es-ES"/>
        </w:rPr>
        <w:t xml:space="preserve"> </w:t>
      </w:r>
      <w:r w:rsidR="0045788D" w:rsidRPr="0045788D">
        <w:rPr>
          <w:b/>
          <w:bCs/>
          <w:i/>
          <w:iCs/>
          <w:lang w:val="es-ES"/>
        </w:rPr>
        <w:t>muy distinta es la pérdida total de la inversión debido a un producto de elevado riesgo del que</w:t>
      </w:r>
    </w:p>
    <w:p w14:paraId="34E7ED52" w14:textId="0C6753B7" w:rsidR="0045788D" w:rsidRPr="0045788D" w:rsidRDefault="0045788D" w:rsidP="0045788D">
      <w:pPr>
        <w:pStyle w:val="Prrafodelista"/>
        <w:spacing w:line="360" w:lineRule="auto"/>
        <w:jc w:val="both"/>
        <w:rPr>
          <w:b/>
          <w:bCs/>
          <w:i/>
          <w:iCs/>
          <w:lang w:val="es-ES"/>
        </w:rPr>
      </w:pPr>
      <w:r w:rsidRPr="0045788D">
        <w:rPr>
          <w:b/>
          <w:bCs/>
          <w:i/>
          <w:iCs/>
          <w:lang w:val="es-ES"/>
        </w:rPr>
        <w:t>no se ha dado la suficiente información</w:t>
      </w:r>
      <w:r w:rsidRPr="0045788D">
        <w:rPr>
          <w:b/>
          <w:bCs/>
          <w:i/>
          <w:iCs/>
          <w:lang w:val="es-ES"/>
        </w:rPr>
        <w:t>”</w:t>
      </w:r>
      <w:r w:rsidRPr="0045788D">
        <w:rPr>
          <w:b/>
          <w:bCs/>
          <w:i/>
          <w:iCs/>
          <w:lang w:val="es-ES"/>
        </w:rPr>
        <w:t>.</w:t>
      </w:r>
    </w:p>
    <w:p w14:paraId="431D9B9A" w14:textId="11D60B43" w:rsidR="0045788D" w:rsidRPr="0043432E" w:rsidRDefault="0045788D" w:rsidP="0043432E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bCs/>
          <w:lang w:val="es-ES"/>
        </w:rPr>
      </w:pPr>
      <w:r>
        <w:rPr>
          <w:lang w:val="es-ES"/>
        </w:rPr>
        <w:t xml:space="preserve">Y señala la sentencia que la obligación y responsabilidad sobre la información a facilitar recae en la entidad financiera: </w:t>
      </w:r>
      <w:r w:rsidR="0043432E" w:rsidRPr="0043432E">
        <w:rPr>
          <w:b/>
          <w:bCs/>
          <w:lang w:val="es-ES"/>
        </w:rPr>
        <w:t>“</w:t>
      </w:r>
      <w:r w:rsidRPr="0043432E">
        <w:rPr>
          <w:b/>
          <w:bCs/>
          <w:lang w:val="es-ES"/>
        </w:rPr>
        <w:t>Sin conocimientos expertos</w:t>
      </w:r>
      <w:r w:rsidRPr="0043432E">
        <w:rPr>
          <w:b/>
          <w:bCs/>
          <w:lang w:val="es-ES"/>
        </w:rPr>
        <w:t xml:space="preserve"> </w:t>
      </w:r>
      <w:r w:rsidRPr="0043432E">
        <w:rPr>
          <w:b/>
          <w:bCs/>
          <w:lang w:val="es-ES"/>
        </w:rPr>
        <w:t>en el mercado de valores, el cliente no puede saber que´ información concreta ha de</w:t>
      </w:r>
      <w:r w:rsidR="0043432E">
        <w:rPr>
          <w:b/>
          <w:bCs/>
          <w:lang w:val="es-ES"/>
        </w:rPr>
        <w:t xml:space="preserve"> </w:t>
      </w:r>
      <w:r w:rsidRPr="0043432E">
        <w:rPr>
          <w:b/>
          <w:bCs/>
          <w:lang w:val="es-ES"/>
        </w:rPr>
        <w:t>demandar al profesional. El cliente debe poder confiar en que la entidad de servicios de</w:t>
      </w:r>
      <w:r w:rsidR="0043432E" w:rsidRPr="0043432E">
        <w:rPr>
          <w:b/>
          <w:bCs/>
          <w:lang w:val="es-ES"/>
        </w:rPr>
        <w:t xml:space="preserve"> </w:t>
      </w:r>
      <w:r w:rsidRPr="0043432E">
        <w:rPr>
          <w:b/>
          <w:bCs/>
          <w:lang w:val="es-ES"/>
        </w:rPr>
        <w:t>inversión que le asesora no esta´ omitiendo información sobre ninguna cuestión relevante.</w:t>
      </w:r>
      <w:r w:rsidR="0043432E" w:rsidRPr="0043432E">
        <w:rPr>
          <w:b/>
          <w:bCs/>
          <w:lang w:val="es-ES"/>
        </w:rPr>
        <w:t>”</w:t>
      </w:r>
    </w:p>
    <w:p w14:paraId="76AAD3CC" w14:textId="77777777" w:rsidR="00311E25" w:rsidRDefault="00311E25" w:rsidP="00BF7B2A">
      <w:pPr>
        <w:spacing w:line="360" w:lineRule="auto"/>
        <w:jc w:val="both"/>
        <w:rPr>
          <w:lang w:val="es-ES"/>
        </w:rPr>
      </w:pPr>
    </w:p>
    <w:p w14:paraId="16875968" w14:textId="77777777" w:rsidR="0008624B" w:rsidRDefault="0008624B" w:rsidP="0008624B">
      <w:pPr>
        <w:spacing w:line="360" w:lineRule="auto"/>
        <w:ind w:firstLine="708"/>
        <w:jc w:val="both"/>
        <w:rPr>
          <w:lang w:val="es-ES"/>
        </w:rPr>
      </w:pPr>
      <w:r>
        <w:rPr>
          <w:lang w:val="es-ES"/>
        </w:rPr>
        <w:t xml:space="preserve">La Audiencia Provincial de Valencia señala en la sentencia que </w:t>
      </w:r>
      <w:r w:rsidR="00311E25">
        <w:rPr>
          <w:lang w:val="es-ES"/>
        </w:rPr>
        <w:t xml:space="preserve">el conocimiento en el mundo de la empresa no es suficiente como para entender un producto financiero complejo si no ha existido la información previa. </w:t>
      </w:r>
    </w:p>
    <w:p w14:paraId="2AFF2C16" w14:textId="77777777" w:rsidR="0008624B" w:rsidRDefault="0008624B" w:rsidP="0008624B">
      <w:pPr>
        <w:spacing w:line="360" w:lineRule="auto"/>
        <w:ind w:firstLine="708"/>
        <w:jc w:val="both"/>
        <w:rPr>
          <w:lang w:val="es-ES"/>
        </w:rPr>
      </w:pPr>
    </w:p>
    <w:p w14:paraId="0D342F02" w14:textId="77777777" w:rsidR="0043432E" w:rsidRDefault="0043432E" w:rsidP="0043432E">
      <w:pPr>
        <w:spacing w:line="360" w:lineRule="auto"/>
        <w:ind w:firstLine="708"/>
        <w:jc w:val="both"/>
        <w:rPr>
          <w:lang w:val="es-ES"/>
        </w:rPr>
      </w:pPr>
      <w:r>
        <w:rPr>
          <w:lang w:val="es-ES"/>
        </w:rPr>
        <w:t>Los Magistrados confirmaron que en el p</w:t>
      </w:r>
      <w:r w:rsidRPr="0043432E">
        <w:rPr>
          <w:lang w:val="es-ES"/>
        </w:rPr>
        <w:t xml:space="preserve">resente caso </w:t>
      </w:r>
      <w:r w:rsidRPr="0043432E">
        <w:rPr>
          <w:b/>
          <w:bCs/>
          <w:lang w:val="es-ES"/>
        </w:rPr>
        <w:t>“…</w:t>
      </w:r>
      <w:r w:rsidRPr="0043432E">
        <w:rPr>
          <w:b/>
          <w:bCs/>
          <w:lang w:val="es-ES"/>
        </w:rPr>
        <w:t>es obvio el perfil minorista de la empresa demandante cuyos</w:t>
      </w:r>
      <w:r w:rsidRPr="0043432E">
        <w:rPr>
          <w:b/>
          <w:bCs/>
          <w:lang w:val="es-ES"/>
        </w:rPr>
        <w:t xml:space="preserve"> </w:t>
      </w:r>
      <w:r w:rsidRPr="0043432E">
        <w:rPr>
          <w:b/>
          <w:bCs/>
          <w:lang w:val="es-ES"/>
        </w:rPr>
        <w:t>administradores carecen en absoluto de conocimientos en Derecho, Economía o contabilidad</w:t>
      </w:r>
      <w:r w:rsidRPr="0043432E">
        <w:rPr>
          <w:b/>
          <w:bCs/>
          <w:lang w:val="es-ES"/>
        </w:rPr>
        <w:t xml:space="preserve"> </w:t>
      </w:r>
      <w:r w:rsidRPr="0043432E">
        <w:rPr>
          <w:b/>
          <w:bCs/>
          <w:lang w:val="es-ES"/>
        </w:rPr>
        <w:t>(siendo su formación FP 2 según declaró en juicio su administrador solidario) sin que la</w:t>
      </w:r>
      <w:r w:rsidRPr="0043432E">
        <w:rPr>
          <w:b/>
          <w:bCs/>
          <w:lang w:val="es-ES"/>
        </w:rPr>
        <w:t xml:space="preserve"> </w:t>
      </w:r>
      <w:r w:rsidRPr="0043432E">
        <w:rPr>
          <w:b/>
          <w:bCs/>
          <w:lang w:val="es-ES"/>
        </w:rPr>
        <w:t>demandada haya acreditado otra formación superior, y aunque lo tuvieran sería irrelevante a la</w:t>
      </w:r>
      <w:r w:rsidRPr="0043432E">
        <w:rPr>
          <w:b/>
          <w:bCs/>
          <w:lang w:val="es-ES"/>
        </w:rPr>
        <w:t xml:space="preserve"> </w:t>
      </w:r>
      <w:r w:rsidRPr="0043432E">
        <w:rPr>
          <w:b/>
          <w:bCs/>
          <w:lang w:val="es-ES"/>
        </w:rPr>
        <w:t>vista de la jurisprudencia analizada;</w:t>
      </w:r>
      <w:r w:rsidRPr="0043432E">
        <w:rPr>
          <w:lang w:val="es-ES"/>
        </w:rPr>
        <w:t xml:space="preserve"> </w:t>
      </w:r>
    </w:p>
    <w:p w14:paraId="4E246826" w14:textId="5D587B31" w:rsidR="0008624B" w:rsidRPr="0043432E" w:rsidRDefault="0043432E" w:rsidP="0043432E">
      <w:pPr>
        <w:spacing w:line="360" w:lineRule="auto"/>
        <w:ind w:firstLine="708"/>
        <w:jc w:val="both"/>
        <w:rPr>
          <w:b/>
          <w:bCs/>
          <w:lang w:val="es-ES"/>
        </w:rPr>
      </w:pPr>
      <w:r>
        <w:rPr>
          <w:lang w:val="es-ES"/>
        </w:rPr>
        <w:lastRenderedPageBreak/>
        <w:t xml:space="preserve">Además señala la sentencia: </w:t>
      </w:r>
      <w:r w:rsidRPr="0043432E">
        <w:rPr>
          <w:b/>
          <w:bCs/>
          <w:lang w:val="es-ES"/>
        </w:rPr>
        <w:t>“</w:t>
      </w:r>
      <w:r w:rsidRPr="0043432E">
        <w:rPr>
          <w:b/>
          <w:bCs/>
          <w:lang w:val="es-ES"/>
        </w:rPr>
        <w:t>y mucho menos cabe sostener que tengan dichos</w:t>
      </w:r>
      <w:r w:rsidRPr="0043432E">
        <w:rPr>
          <w:b/>
          <w:bCs/>
          <w:lang w:val="es-ES"/>
        </w:rPr>
        <w:t xml:space="preserve"> </w:t>
      </w:r>
      <w:r w:rsidRPr="0043432E">
        <w:rPr>
          <w:b/>
          <w:bCs/>
          <w:lang w:val="es-ES"/>
        </w:rPr>
        <w:t>conocimientos especializados en productos de inversión o financieros por el mero hecho de</w:t>
      </w:r>
      <w:r w:rsidRPr="0043432E">
        <w:rPr>
          <w:b/>
          <w:bCs/>
          <w:lang w:val="es-ES"/>
        </w:rPr>
        <w:t xml:space="preserve"> </w:t>
      </w:r>
      <w:r w:rsidRPr="0043432E">
        <w:rPr>
          <w:b/>
          <w:bCs/>
          <w:lang w:val="es-ES"/>
        </w:rPr>
        <w:t>que hayan podido adquirir anteriormente algún producto de riesgo en la entidad demandada,</w:t>
      </w:r>
      <w:r w:rsidRPr="0043432E">
        <w:rPr>
          <w:b/>
          <w:bCs/>
          <w:lang w:val="es-ES"/>
        </w:rPr>
        <w:t xml:space="preserve"> </w:t>
      </w:r>
      <w:r w:rsidRPr="0043432E">
        <w:rPr>
          <w:b/>
          <w:bCs/>
          <w:lang w:val="es-ES"/>
        </w:rPr>
        <w:t xml:space="preserve">desconociendo cómo y en qué circunstancias se produjo dicha </w:t>
      </w:r>
      <w:proofErr w:type="gramStart"/>
      <w:r w:rsidRPr="0043432E">
        <w:rPr>
          <w:b/>
          <w:bCs/>
          <w:lang w:val="es-ES"/>
        </w:rPr>
        <w:t>adquisición,</w:t>
      </w:r>
      <w:r w:rsidRPr="0043432E">
        <w:rPr>
          <w:b/>
          <w:bCs/>
          <w:lang w:val="es-ES"/>
        </w:rPr>
        <w:t>…</w:t>
      </w:r>
      <w:proofErr w:type="gramEnd"/>
      <w:r w:rsidRPr="0043432E">
        <w:rPr>
          <w:b/>
          <w:bCs/>
          <w:lang w:val="es-ES"/>
        </w:rPr>
        <w:t>.</w:t>
      </w:r>
      <w:r w:rsidRPr="0043432E">
        <w:rPr>
          <w:b/>
          <w:bCs/>
          <w:lang w:val="es-ES"/>
        </w:rPr>
        <w:t>”</w:t>
      </w:r>
    </w:p>
    <w:p w14:paraId="032426AA" w14:textId="77777777" w:rsidR="0008624B" w:rsidRDefault="0008624B" w:rsidP="0008624B">
      <w:pPr>
        <w:spacing w:line="360" w:lineRule="auto"/>
        <w:ind w:firstLine="708"/>
        <w:jc w:val="both"/>
        <w:rPr>
          <w:lang w:val="es-ES"/>
        </w:rPr>
      </w:pPr>
    </w:p>
    <w:p w14:paraId="128C2010" w14:textId="74024301" w:rsidR="00311E25" w:rsidRPr="00311E25" w:rsidRDefault="0043432E" w:rsidP="0008624B">
      <w:pPr>
        <w:spacing w:line="360" w:lineRule="auto"/>
        <w:ind w:firstLine="708"/>
        <w:jc w:val="both"/>
        <w:rPr>
          <w:lang w:val="es-ES"/>
        </w:rPr>
      </w:pPr>
      <w:r>
        <w:rPr>
          <w:lang w:val="es-ES"/>
        </w:rPr>
        <w:t>L</w:t>
      </w:r>
      <w:r w:rsidR="0008624B">
        <w:rPr>
          <w:lang w:val="es-ES"/>
        </w:rPr>
        <w:t xml:space="preserve">a sentencia </w:t>
      </w:r>
      <w:r>
        <w:rPr>
          <w:lang w:val="es-ES"/>
        </w:rPr>
        <w:t xml:space="preserve">aplica </w:t>
      </w:r>
      <w:r w:rsidR="00311E25" w:rsidRPr="00311E25">
        <w:rPr>
          <w:lang w:val="es-ES"/>
        </w:rPr>
        <w:t xml:space="preserve">la jurisprudencia del Tribunal Supremo que excluye el carácter de experto en materia de inversiones financieras por el mero hecho de tener conocimientos usuales del mundo de la empresa o de economía, o es administrador de la sociedad y tiene estudios de comercio y actúa junto a su hijo que los tiene de economía (STS no 549/2015, de 22 de octubre, 633/2015, de 19 de noviembre y 651/2015, de 20 de noviembre) </w:t>
      </w:r>
    </w:p>
    <w:p w14:paraId="24B6CF78" w14:textId="77777777" w:rsidR="00311E25" w:rsidRPr="00BF7B2A" w:rsidRDefault="00311E25" w:rsidP="00BF7B2A">
      <w:pPr>
        <w:spacing w:line="360" w:lineRule="auto"/>
        <w:jc w:val="both"/>
        <w:rPr>
          <w:lang w:val="es-ES"/>
        </w:rPr>
      </w:pPr>
    </w:p>
    <w:p w14:paraId="5D71A3EF" w14:textId="77777777" w:rsidR="0043432E" w:rsidRDefault="0043432E" w:rsidP="0008624B">
      <w:pPr>
        <w:spacing w:line="360" w:lineRule="auto"/>
        <w:ind w:firstLine="708"/>
        <w:jc w:val="both"/>
        <w:rPr>
          <w:lang w:val="es-ES"/>
        </w:rPr>
      </w:pPr>
      <w:r>
        <w:rPr>
          <w:lang w:val="es-ES"/>
        </w:rPr>
        <w:t xml:space="preserve">La sentencia </w:t>
      </w:r>
      <w:r w:rsidR="00257A6D">
        <w:rPr>
          <w:lang w:val="es-ES"/>
        </w:rPr>
        <w:t xml:space="preserve">concluye </w:t>
      </w:r>
      <w:r>
        <w:rPr>
          <w:lang w:val="es-ES"/>
        </w:rPr>
        <w:t>señalando</w:t>
      </w:r>
      <w:r w:rsidR="00257A6D">
        <w:rPr>
          <w:lang w:val="es-ES"/>
        </w:rPr>
        <w:t xml:space="preserve"> que </w:t>
      </w:r>
      <w:r w:rsidR="00257A6D" w:rsidRPr="00257A6D">
        <w:rPr>
          <w:lang w:val="es-ES"/>
        </w:rPr>
        <w:t xml:space="preserve">el deber de información que pesa sobre la entidad financiera incide directamente en la concurrencia del requisito de </w:t>
      </w:r>
      <w:proofErr w:type="spellStart"/>
      <w:r w:rsidR="00257A6D" w:rsidRPr="00257A6D">
        <w:rPr>
          <w:lang w:val="es-ES"/>
        </w:rPr>
        <w:t>excusabilidad</w:t>
      </w:r>
      <w:proofErr w:type="spellEnd"/>
      <w:r w:rsidR="00257A6D" w:rsidRPr="00257A6D">
        <w:rPr>
          <w:lang w:val="es-ES"/>
        </w:rPr>
        <w:t xml:space="preserve"> del error</w:t>
      </w:r>
      <w:r>
        <w:rPr>
          <w:lang w:val="es-ES"/>
        </w:rPr>
        <w:t xml:space="preserve"> del cliente, </w:t>
      </w:r>
      <w:r w:rsidR="00257A6D" w:rsidRPr="0043432E">
        <w:rPr>
          <w:b/>
          <w:bCs/>
          <w:lang w:val="es-ES"/>
        </w:rPr>
        <w:t>pues si el cliente estaba necesitado de esa información (que lo estaba) y la entidad financiera estaba obligada a suministrársela de forma comprensible y adecuada (que no lo hizo), entonces el conocimiento equivocado sobre los concretos riesgos asociados al producto financiero complejo contratado en que consiste el error le es excusable al cliente</w:t>
      </w:r>
      <w:r>
        <w:rPr>
          <w:lang w:val="es-ES"/>
        </w:rPr>
        <w:t xml:space="preserve">. </w:t>
      </w:r>
    </w:p>
    <w:p w14:paraId="3B0840A4" w14:textId="77777777" w:rsidR="0043432E" w:rsidRDefault="0043432E" w:rsidP="0043432E">
      <w:pPr>
        <w:spacing w:line="360" w:lineRule="auto"/>
        <w:jc w:val="both"/>
        <w:rPr>
          <w:lang w:val="es-ES"/>
        </w:rPr>
      </w:pPr>
    </w:p>
    <w:p w14:paraId="20E06B96" w14:textId="490AB681" w:rsidR="00257A6D" w:rsidRPr="0043432E" w:rsidRDefault="0043432E" w:rsidP="0043432E">
      <w:pPr>
        <w:spacing w:line="360" w:lineRule="auto"/>
        <w:ind w:firstLine="708"/>
        <w:jc w:val="both"/>
        <w:rPr>
          <w:b/>
          <w:bCs/>
          <w:lang w:val="es-ES"/>
        </w:rPr>
      </w:pPr>
      <w:r w:rsidRPr="0043432E">
        <w:rPr>
          <w:b/>
          <w:bCs/>
          <w:lang w:val="es-ES"/>
        </w:rPr>
        <w:t xml:space="preserve">En consecuencia, </w:t>
      </w:r>
      <w:r w:rsidR="00257A6D" w:rsidRPr="0043432E">
        <w:rPr>
          <w:b/>
          <w:bCs/>
          <w:lang w:val="es-ES"/>
        </w:rPr>
        <w:t>el error emana de la deficitaria comercialización por parte del BBVA.</w:t>
      </w:r>
    </w:p>
    <w:p w14:paraId="025578FD" w14:textId="77777777" w:rsidR="00257A6D" w:rsidRPr="0043432E" w:rsidRDefault="00257A6D" w:rsidP="00257A6D">
      <w:pPr>
        <w:spacing w:line="360" w:lineRule="auto"/>
        <w:jc w:val="both"/>
        <w:rPr>
          <w:b/>
          <w:bCs/>
          <w:lang w:val="es-ES"/>
        </w:rPr>
      </w:pPr>
    </w:p>
    <w:p w14:paraId="380C89F8" w14:textId="4C84794D" w:rsidR="00257A6D" w:rsidRPr="0043432E" w:rsidRDefault="00257A6D" w:rsidP="0008624B">
      <w:pPr>
        <w:spacing w:line="360" w:lineRule="auto"/>
        <w:ind w:firstLine="708"/>
        <w:jc w:val="both"/>
        <w:rPr>
          <w:b/>
          <w:bCs/>
          <w:lang w:val="es-ES"/>
        </w:rPr>
      </w:pPr>
      <w:r>
        <w:rPr>
          <w:lang w:val="es-ES"/>
        </w:rPr>
        <w:t xml:space="preserve">En definitiva, la </w:t>
      </w:r>
      <w:r w:rsidR="0008624B">
        <w:rPr>
          <w:lang w:val="es-ES"/>
        </w:rPr>
        <w:t xml:space="preserve">sentencia de apelación confirma en su totalidad la dictada en primera instancia, de forma que el contrato de adquisición queda anulado, </w:t>
      </w:r>
      <w:r w:rsidRPr="00257A6D">
        <w:rPr>
          <w:iCs/>
          <w:lang w:val="es-ES"/>
        </w:rPr>
        <w:t xml:space="preserve">como si </w:t>
      </w:r>
      <w:r>
        <w:rPr>
          <w:iCs/>
          <w:lang w:val="es-ES"/>
        </w:rPr>
        <w:t xml:space="preserve">no se hubiera celebrado nunca y, por ello, </w:t>
      </w:r>
      <w:r w:rsidRPr="0043432E">
        <w:rPr>
          <w:b/>
          <w:bCs/>
          <w:iCs/>
          <w:lang w:val="es-ES"/>
        </w:rPr>
        <w:t xml:space="preserve">se condena a BBVA a </w:t>
      </w:r>
      <w:r w:rsidR="0008624B" w:rsidRPr="0043432E">
        <w:rPr>
          <w:b/>
          <w:bCs/>
          <w:iCs/>
          <w:lang w:val="es-ES"/>
        </w:rPr>
        <w:t xml:space="preserve">devolver al cliente de DURAN &amp; DURAN ABOGADOS, </w:t>
      </w:r>
      <w:r w:rsidRPr="0043432E">
        <w:rPr>
          <w:b/>
          <w:bCs/>
          <w:iCs/>
          <w:lang w:val="es-ES"/>
        </w:rPr>
        <w:t>la</w:t>
      </w:r>
      <w:r w:rsidR="0008624B" w:rsidRPr="0043432E">
        <w:rPr>
          <w:b/>
          <w:bCs/>
          <w:iCs/>
          <w:lang w:val="es-ES"/>
        </w:rPr>
        <w:t xml:space="preserve"> totalidad de la</w:t>
      </w:r>
      <w:r w:rsidRPr="0043432E">
        <w:rPr>
          <w:b/>
          <w:bCs/>
          <w:iCs/>
          <w:lang w:val="es-ES"/>
        </w:rPr>
        <w:t xml:space="preserve"> inversión realizada de </w:t>
      </w:r>
      <w:r w:rsidR="0008624B" w:rsidRPr="0043432E">
        <w:rPr>
          <w:b/>
          <w:bCs/>
          <w:iCs/>
          <w:lang w:val="es-ES"/>
        </w:rPr>
        <w:t>CIENTO CINCUENTA Y OCHO MIL CUATROCIENTOS TREINTA Y SIETE EUROS, (</w:t>
      </w:r>
      <w:r w:rsidRPr="0043432E">
        <w:rPr>
          <w:b/>
          <w:bCs/>
          <w:iCs/>
          <w:lang w:val="es-ES"/>
        </w:rPr>
        <w:t>158.437€</w:t>
      </w:r>
      <w:r w:rsidR="0008624B" w:rsidRPr="0043432E">
        <w:rPr>
          <w:b/>
          <w:bCs/>
          <w:iCs/>
          <w:lang w:val="es-ES"/>
        </w:rPr>
        <w:t>)</w:t>
      </w:r>
      <w:r w:rsidRPr="0043432E">
        <w:rPr>
          <w:b/>
          <w:bCs/>
          <w:iCs/>
          <w:lang w:val="es-ES"/>
        </w:rPr>
        <w:t xml:space="preserve"> más intereses legales desde la</w:t>
      </w:r>
      <w:r w:rsidR="0008624B" w:rsidRPr="0043432E">
        <w:rPr>
          <w:b/>
          <w:bCs/>
          <w:iCs/>
          <w:lang w:val="es-ES"/>
        </w:rPr>
        <w:t xml:space="preserve"> fecha de la</w:t>
      </w:r>
      <w:r w:rsidRPr="0043432E">
        <w:rPr>
          <w:b/>
          <w:bCs/>
          <w:iCs/>
          <w:lang w:val="es-ES"/>
        </w:rPr>
        <w:t xml:space="preserve"> inversión. </w:t>
      </w:r>
    </w:p>
    <w:p w14:paraId="240F24C1" w14:textId="7401C559" w:rsidR="00257A6D" w:rsidRPr="00257A6D" w:rsidRDefault="00257A6D" w:rsidP="00257A6D">
      <w:pPr>
        <w:spacing w:line="360" w:lineRule="auto"/>
        <w:jc w:val="both"/>
        <w:rPr>
          <w:lang w:val="es-ES"/>
        </w:rPr>
      </w:pPr>
    </w:p>
    <w:p w14:paraId="7B2132D1" w14:textId="0C0574EC" w:rsidR="000B542E" w:rsidRPr="00311E25" w:rsidRDefault="000B542E" w:rsidP="00311E25">
      <w:pPr>
        <w:spacing w:line="360" w:lineRule="auto"/>
        <w:jc w:val="both"/>
        <w:rPr>
          <w:lang w:val="es-ES"/>
        </w:rPr>
      </w:pPr>
    </w:p>
    <w:p w14:paraId="43A76E31" w14:textId="77777777" w:rsidR="00311E25" w:rsidRPr="00311E25" w:rsidRDefault="00311E25" w:rsidP="00311E25">
      <w:pPr>
        <w:spacing w:line="360" w:lineRule="auto"/>
        <w:jc w:val="both"/>
        <w:rPr>
          <w:lang w:val="es-ES"/>
        </w:rPr>
      </w:pPr>
    </w:p>
    <w:p w14:paraId="093B27CB" w14:textId="77777777" w:rsidR="00BF7B2A" w:rsidRPr="00BF7B2A" w:rsidRDefault="00BF7B2A" w:rsidP="00BF7B2A">
      <w:pPr>
        <w:spacing w:line="360" w:lineRule="auto"/>
        <w:jc w:val="both"/>
        <w:rPr>
          <w:lang w:val="es-ES"/>
        </w:rPr>
      </w:pPr>
      <w:bookmarkStart w:id="0" w:name="_GoBack"/>
      <w:bookmarkEnd w:id="0"/>
    </w:p>
    <w:p w14:paraId="3D724FFE" w14:textId="77777777" w:rsidR="00BF7B2A" w:rsidRPr="00BF7B2A" w:rsidRDefault="00BF7B2A" w:rsidP="00BF7B2A">
      <w:pPr>
        <w:spacing w:line="360" w:lineRule="auto"/>
        <w:jc w:val="both"/>
        <w:rPr>
          <w:lang w:val="es-ES"/>
        </w:rPr>
      </w:pPr>
    </w:p>
    <w:p w14:paraId="6573946B" w14:textId="77777777" w:rsidR="00BF7B2A" w:rsidRDefault="00BF7B2A" w:rsidP="003948C4">
      <w:pPr>
        <w:spacing w:line="360" w:lineRule="auto"/>
        <w:jc w:val="both"/>
      </w:pPr>
    </w:p>
    <w:sectPr w:rsidR="00BF7B2A" w:rsidSect="00824FBF">
      <w:pgSz w:w="11901" w:h="16817"/>
      <w:pgMar w:top="1701" w:right="1406" w:bottom="737" w:left="1701" w:header="1701" w:footer="73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46BA5"/>
    <w:multiLevelType w:val="hybridMultilevel"/>
    <w:tmpl w:val="56C2AADE"/>
    <w:lvl w:ilvl="0" w:tplc="58F8B1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C4"/>
    <w:rsid w:val="0008624B"/>
    <w:rsid w:val="000B542E"/>
    <w:rsid w:val="00257A6D"/>
    <w:rsid w:val="002D2117"/>
    <w:rsid w:val="00311E25"/>
    <w:rsid w:val="003573A4"/>
    <w:rsid w:val="003948C4"/>
    <w:rsid w:val="0043432E"/>
    <w:rsid w:val="0045788D"/>
    <w:rsid w:val="006E11FC"/>
    <w:rsid w:val="00824FBF"/>
    <w:rsid w:val="00A55419"/>
    <w:rsid w:val="00B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45654"/>
  <w14:defaultImageDpi w14:val="300"/>
  <w15:docId w15:val="{A4D7F03D-1927-4D56-8022-3021F807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GERONTOCAT, S.L.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Durán Cruz</dc:creator>
  <cp:keywords/>
  <dc:description/>
  <cp:lastModifiedBy>Miguel Angel Duran</cp:lastModifiedBy>
  <cp:revision>2</cp:revision>
  <dcterms:created xsi:type="dcterms:W3CDTF">2019-10-29T12:52:00Z</dcterms:created>
  <dcterms:modified xsi:type="dcterms:W3CDTF">2019-10-29T12:52:00Z</dcterms:modified>
</cp:coreProperties>
</file>