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F9A3E4" w14:textId="1F89B90D" w:rsidR="00C07FBA" w:rsidRDefault="005D1549">
      <w:pPr>
        <w:pStyle w:val="Cuerpo"/>
        <w:jc w:val="both"/>
      </w:pPr>
      <w:r>
        <w:t xml:space="preserve">SENTENCIA FAVORABLE DEL DESPACHO DE DURÁN &amp; </w:t>
      </w:r>
      <w:r w:rsidR="007A3CB0">
        <w:t>DURAN ABOGADOS</w:t>
      </w:r>
    </w:p>
    <w:p w14:paraId="3C8CF36B" w14:textId="2A2C7DD1" w:rsidR="00C07FBA" w:rsidRDefault="00C76087" w:rsidP="00C76087">
      <w:pPr>
        <w:pStyle w:val="Cuerpo"/>
        <w:jc w:val="both"/>
        <w:rPr>
          <w:rStyle w:val="Ninguno"/>
          <w:b/>
          <w:bCs/>
          <w:sz w:val="36"/>
          <w:szCs w:val="36"/>
        </w:rPr>
      </w:pPr>
      <w:r>
        <w:rPr>
          <w:rStyle w:val="Ninguno"/>
          <w:b/>
          <w:bCs/>
          <w:sz w:val="36"/>
          <w:szCs w:val="36"/>
        </w:rPr>
        <w:t>Otro J</w:t>
      </w:r>
      <w:r w:rsidR="005D1549">
        <w:rPr>
          <w:rStyle w:val="Ninguno"/>
          <w:b/>
          <w:bCs/>
          <w:sz w:val="36"/>
          <w:szCs w:val="36"/>
        </w:rPr>
        <w:t>uzgado de Sevilla obliga a</w:t>
      </w:r>
      <w:r>
        <w:rPr>
          <w:rStyle w:val="Ninguno"/>
          <w:b/>
          <w:bCs/>
          <w:sz w:val="36"/>
          <w:szCs w:val="36"/>
        </w:rPr>
        <w:t xml:space="preserve"> LIBERBANK </w:t>
      </w:r>
      <w:r w:rsidR="005D1549">
        <w:rPr>
          <w:rStyle w:val="Ninguno"/>
          <w:b/>
          <w:bCs/>
          <w:sz w:val="36"/>
          <w:szCs w:val="36"/>
        </w:rPr>
        <w:t>a devolver a</w:t>
      </w:r>
      <w:r>
        <w:rPr>
          <w:rStyle w:val="Ninguno"/>
          <w:b/>
          <w:bCs/>
          <w:sz w:val="36"/>
          <w:szCs w:val="36"/>
        </w:rPr>
        <w:t xml:space="preserve"> un matrimonio casi 100.000 E</w:t>
      </w:r>
      <w:r w:rsidR="005D1549">
        <w:rPr>
          <w:rStyle w:val="Ninguno"/>
          <w:b/>
          <w:bCs/>
          <w:sz w:val="36"/>
          <w:szCs w:val="36"/>
        </w:rPr>
        <w:t>uros invertidos en</w:t>
      </w:r>
      <w:r>
        <w:rPr>
          <w:rStyle w:val="Ninguno"/>
          <w:b/>
          <w:bCs/>
          <w:sz w:val="36"/>
          <w:szCs w:val="36"/>
        </w:rPr>
        <w:t xml:space="preserve"> la compra</w:t>
      </w:r>
      <w:r w:rsidR="005D1549">
        <w:rPr>
          <w:rStyle w:val="Ninguno"/>
          <w:b/>
          <w:bCs/>
          <w:sz w:val="36"/>
          <w:szCs w:val="36"/>
        </w:rPr>
        <w:t xml:space="preserve"> </w:t>
      </w:r>
      <w:r>
        <w:rPr>
          <w:rStyle w:val="Ninguno"/>
          <w:b/>
          <w:bCs/>
          <w:sz w:val="36"/>
          <w:szCs w:val="36"/>
        </w:rPr>
        <w:t>de B</w:t>
      </w:r>
      <w:r w:rsidR="005D1549">
        <w:rPr>
          <w:rStyle w:val="Ninguno"/>
          <w:b/>
          <w:bCs/>
          <w:sz w:val="36"/>
          <w:szCs w:val="36"/>
        </w:rPr>
        <w:t>onos de Abengoa</w:t>
      </w:r>
      <w:r w:rsidR="00511F9E">
        <w:rPr>
          <w:rStyle w:val="Ninguno"/>
          <w:b/>
          <w:bCs/>
          <w:sz w:val="36"/>
          <w:szCs w:val="36"/>
        </w:rPr>
        <w:t>.</w:t>
      </w:r>
    </w:p>
    <w:p w14:paraId="066314E2" w14:textId="53E48232" w:rsidR="00C07FBA" w:rsidRDefault="005D1549">
      <w:pPr>
        <w:pStyle w:val="Prrafodelista"/>
        <w:ind w:left="0"/>
        <w:jc w:val="both"/>
        <w:rPr>
          <w:b/>
          <w:bCs/>
        </w:rPr>
      </w:pPr>
      <w:r>
        <w:rPr>
          <w:b/>
          <w:bCs/>
        </w:rPr>
        <w:t xml:space="preserve">Se trata de una nueva sentencia dictada </w:t>
      </w:r>
      <w:r w:rsidR="005C2D61">
        <w:rPr>
          <w:b/>
          <w:bCs/>
        </w:rPr>
        <w:t xml:space="preserve">en fecha 31 de octubre de 2019 </w:t>
      </w:r>
      <w:r>
        <w:rPr>
          <w:b/>
          <w:bCs/>
        </w:rPr>
        <w:t xml:space="preserve">por </w:t>
      </w:r>
      <w:r w:rsidR="00C76087">
        <w:rPr>
          <w:b/>
          <w:bCs/>
        </w:rPr>
        <w:t xml:space="preserve">el </w:t>
      </w:r>
      <w:r>
        <w:rPr>
          <w:b/>
          <w:bCs/>
        </w:rPr>
        <w:t xml:space="preserve">Juzgado de Primera Instancia </w:t>
      </w:r>
      <w:r w:rsidR="00511F9E">
        <w:rPr>
          <w:b/>
          <w:bCs/>
        </w:rPr>
        <w:t>N</w:t>
      </w:r>
      <w:r>
        <w:rPr>
          <w:b/>
          <w:bCs/>
        </w:rPr>
        <w:t xml:space="preserve">úmero </w:t>
      </w:r>
      <w:r w:rsidR="00C76087">
        <w:rPr>
          <w:b/>
          <w:bCs/>
        </w:rPr>
        <w:t>3</w:t>
      </w:r>
      <w:r>
        <w:rPr>
          <w:b/>
          <w:bCs/>
        </w:rPr>
        <w:t xml:space="preserve"> de Sevilla</w:t>
      </w:r>
      <w:r w:rsidR="00C76087">
        <w:rPr>
          <w:b/>
          <w:bCs/>
        </w:rPr>
        <w:t xml:space="preserve">, </w:t>
      </w:r>
      <w:r>
        <w:rPr>
          <w:b/>
          <w:bCs/>
        </w:rPr>
        <w:t xml:space="preserve">declarando nula la adquisición de </w:t>
      </w:r>
      <w:r w:rsidR="00C76087">
        <w:rPr>
          <w:b/>
          <w:bCs/>
        </w:rPr>
        <w:t>dos B</w:t>
      </w:r>
      <w:r>
        <w:rPr>
          <w:b/>
          <w:bCs/>
        </w:rPr>
        <w:t xml:space="preserve">onos </w:t>
      </w:r>
      <w:r w:rsidR="00511F9E">
        <w:rPr>
          <w:b/>
          <w:bCs/>
        </w:rPr>
        <w:t xml:space="preserve">de </w:t>
      </w:r>
      <w:r>
        <w:rPr>
          <w:b/>
          <w:bCs/>
        </w:rPr>
        <w:t xml:space="preserve">Abengoa </w:t>
      </w:r>
      <w:r w:rsidR="00511F9E">
        <w:rPr>
          <w:b/>
          <w:bCs/>
        </w:rPr>
        <w:t xml:space="preserve">con un </w:t>
      </w:r>
      <w:r>
        <w:rPr>
          <w:b/>
          <w:bCs/>
        </w:rPr>
        <w:t xml:space="preserve">valor nominal </w:t>
      </w:r>
      <w:r w:rsidR="00C76087">
        <w:rPr>
          <w:b/>
          <w:bCs/>
        </w:rPr>
        <w:t>de 50.000 euros</w:t>
      </w:r>
      <w:r w:rsidR="005C2D61">
        <w:rPr>
          <w:b/>
          <w:bCs/>
        </w:rPr>
        <w:t xml:space="preserve"> cada uno</w:t>
      </w:r>
      <w:r>
        <w:rPr>
          <w:b/>
          <w:bCs/>
        </w:rPr>
        <w:t xml:space="preserve">, </w:t>
      </w:r>
      <w:r w:rsidR="00511F9E">
        <w:rPr>
          <w:b/>
          <w:bCs/>
        </w:rPr>
        <w:t xml:space="preserve">realizada </w:t>
      </w:r>
      <w:r w:rsidR="005C2D61">
        <w:rPr>
          <w:b/>
          <w:bCs/>
        </w:rPr>
        <w:t xml:space="preserve">por parte de </w:t>
      </w:r>
      <w:r w:rsidR="00C76087">
        <w:rPr>
          <w:b/>
          <w:bCs/>
        </w:rPr>
        <w:t xml:space="preserve">estos </w:t>
      </w:r>
      <w:r>
        <w:rPr>
          <w:b/>
          <w:bCs/>
        </w:rPr>
        <w:t>cliente</w:t>
      </w:r>
      <w:r w:rsidR="00C76087">
        <w:rPr>
          <w:b/>
          <w:bCs/>
        </w:rPr>
        <w:t>s</w:t>
      </w:r>
      <w:r>
        <w:rPr>
          <w:b/>
          <w:bCs/>
        </w:rPr>
        <w:t xml:space="preserve"> de Duran</w:t>
      </w:r>
      <w:r w:rsidR="005C2D61">
        <w:rPr>
          <w:b/>
          <w:bCs/>
        </w:rPr>
        <w:t xml:space="preserve"> </w:t>
      </w:r>
      <w:r>
        <w:rPr>
          <w:b/>
          <w:bCs/>
        </w:rPr>
        <w:t>&amp;</w:t>
      </w:r>
      <w:r w:rsidR="005C2D61">
        <w:rPr>
          <w:b/>
          <w:bCs/>
        </w:rPr>
        <w:t xml:space="preserve"> </w:t>
      </w:r>
      <w:r>
        <w:rPr>
          <w:b/>
          <w:bCs/>
        </w:rPr>
        <w:t>Durán Abogados</w:t>
      </w:r>
      <w:r w:rsidR="005C2D61">
        <w:rPr>
          <w:b/>
          <w:bCs/>
        </w:rPr>
        <w:t>.</w:t>
      </w:r>
      <w:r w:rsidR="00C76087">
        <w:rPr>
          <w:b/>
          <w:bCs/>
        </w:rPr>
        <w:t xml:space="preserve">  </w:t>
      </w:r>
    </w:p>
    <w:p w14:paraId="2224E0BE" w14:textId="3DF2BBFD" w:rsidR="00C07FBA" w:rsidRDefault="005D1549">
      <w:pPr>
        <w:pStyle w:val="Prrafodelista"/>
        <w:ind w:left="0"/>
        <w:jc w:val="both"/>
        <w:rPr>
          <w:b/>
          <w:bCs/>
        </w:rPr>
      </w:pPr>
      <w:r>
        <w:rPr>
          <w:b/>
          <w:bCs/>
        </w:rPr>
        <w:t>Esta resolución se une a las anteriores dictadas por l</w:t>
      </w:r>
      <w:r w:rsidR="00511F9E">
        <w:rPr>
          <w:b/>
          <w:bCs/>
        </w:rPr>
        <w:t xml:space="preserve">os </w:t>
      </w:r>
      <w:r>
        <w:rPr>
          <w:b/>
          <w:bCs/>
        </w:rPr>
        <w:t>Juzgado</w:t>
      </w:r>
      <w:r w:rsidR="00511F9E">
        <w:rPr>
          <w:b/>
          <w:bCs/>
        </w:rPr>
        <w:t xml:space="preserve">s </w:t>
      </w:r>
      <w:r>
        <w:rPr>
          <w:b/>
          <w:bCs/>
        </w:rPr>
        <w:t>de Primera Instancia Número 10 y 19 de Sevilla, con fecha 18 de mayo y 17 de julio de 2018, respectivamente</w:t>
      </w:r>
      <w:r w:rsidR="005C2D61">
        <w:rPr>
          <w:b/>
          <w:bCs/>
        </w:rPr>
        <w:t>,</w:t>
      </w:r>
      <w:r>
        <w:rPr>
          <w:b/>
          <w:bCs/>
        </w:rPr>
        <w:t xml:space="preserve"> que falla</w:t>
      </w:r>
      <w:r w:rsidR="005C2D61">
        <w:rPr>
          <w:b/>
          <w:bCs/>
        </w:rPr>
        <w:t>ro</w:t>
      </w:r>
      <w:r>
        <w:rPr>
          <w:b/>
          <w:bCs/>
        </w:rPr>
        <w:t>n</w:t>
      </w:r>
      <w:r w:rsidR="005C2D61">
        <w:rPr>
          <w:b/>
          <w:bCs/>
        </w:rPr>
        <w:t xml:space="preserve"> igualmente a</w:t>
      </w:r>
      <w:r>
        <w:rPr>
          <w:b/>
          <w:bCs/>
        </w:rPr>
        <w:t xml:space="preserve"> favor de clientes de “Duran</w:t>
      </w:r>
      <w:r w:rsidR="005C2D61">
        <w:rPr>
          <w:b/>
          <w:bCs/>
        </w:rPr>
        <w:t xml:space="preserve"> </w:t>
      </w:r>
      <w:r>
        <w:rPr>
          <w:b/>
          <w:bCs/>
        </w:rPr>
        <w:t>&amp;</w:t>
      </w:r>
      <w:r w:rsidR="005C2D61">
        <w:rPr>
          <w:b/>
          <w:bCs/>
        </w:rPr>
        <w:t xml:space="preserve"> </w:t>
      </w:r>
      <w:r>
        <w:rPr>
          <w:b/>
          <w:bCs/>
        </w:rPr>
        <w:t>Durán Abogados”</w:t>
      </w:r>
      <w:r w:rsidR="005C2D61">
        <w:rPr>
          <w:b/>
          <w:bCs/>
        </w:rPr>
        <w:t xml:space="preserve">, </w:t>
      </w:r>
      <w:r>
        <w:rPr>
          <w:b/>
          <w:bCs/>
        </w:rPr>
        <w:t xml:space="preserve">condenando a BBVA </w:t>
      </w:r>
      <w:r w:rsidR="005C2D61">
        <w:rPr>
          <w:b/>
          <w:bCs/>
        </w:rPr>
        <w:t>e</w:t>
      </w:r>
      <w:r>
        <w:rPr>
          <w:b/>
          <w:bCs/>
        </w:rPr>
        <w:t xml:space="preserve"> </w:t>
      </w:r>
      <w:r w:rsidR="005C2D61">
        <w:rPr>
          <w:b/>
          <w:bCs/>
        </w:rPr>
        <w:t>igualmente, L</w:t>
      </w:r>
      <w:r>
        <w:rPr>
          <w:b/>
          <w:bCs/>
        </w:rPr>
        <w:t>iberbank</w:t>
      </w:r>
      <w:r w:rsidR="00511F9E">
        <w:rPr>
          <w:b/>
          <w:bCs/>
        </w:rPr>
        <w:t xml:space="preserve">, </w:t>
      </w:r>
      <w:r>
        <w:rPr>
          <w:b/>
          <w:bCs/>
        </w:rPr>
        <w:t xml:space="preserve">en supuestos muy similares. </w:t>
      </w:r>
    </w:p>
    <w:p w14:paraId="44F823DC" w14:textId="0AE5A7BD" w:rsidR="00C07FBA" w:rsidRDefault="005D154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texto </w:t>
      </w:r>
      <w:r w:rsidR="005C2D61">
        <w:rPr>
          <w:sz w:val="24"/>
          <w:szCs w:val="24"/>
        </w:rPr>
        <w:t xml:space="preserve">de la sentencia </w:t>
      </w:r>
      <w:r>
        <w:rPr>
          <w:sz w:val="24"/>
          <w:szCs w:val="24"/>
        </w:rPr>
        <w:t xml:space="preserve">declara nula la adquisición de bonos Abengoa comercializados </w:t>
      </w:r>
      <w:r w:rsidR="005C2D61">
        <w:rPr>
          <w:sz w:val="24"/>
          <w:szCs w:val="24"/>
        </w:rPr>
        <w:t xml:space="preserve">en su día </w:t>
      </w:r>
      <w:r>
        <w:rPr>
          <w:sz w:val="24"/>
          <w:szCs w:val="24"/>
        </w:rPr>
        <w:t xml:space="preserve">por </w:t>
      </w:r>
      <w:r w:rsidR="005C2D61">
        <w:rPr>
          <w:sz w:val="24"/>
          <w:szCs w:val="24"/>
        </w:rPr>
        <w:t>Banco Castilla La Mancha</w:t>
      </w:r>
      <w:r>
        <w:rPr>
          <w:sz w:val="24"/>
          <w:szCs w:val="24"/>
        </w:rPr>
        <w:t xml:space="preserve">, ahora </w:t>
      </w:r>
      <w:r w:rsidR="005C2D61">
        <w:rPr>
          <w:sz w:val="24"/>
          <w:szCs w:val="24"/>
        </w:rPr>
        <w:t>LIBERBANK</w:t>
      </w:r>
      <w:r>
        <w:rPr>
          <w:sz w:val="24"/>
          <w:szCs w:val="24"/>
        </w:rPr>
        <w:t xml:space="preserve">, condenando a devolver </w:t>
      </w:r>
      <w:r w:rsidR="005C2D61">
        <w:rPr>
          <w:sz w:val="24"/>
          <w:szCs w:val="24"/>
        </w:rPr>
        <w:t>a</w:t>
      </w:r>
      <w:r w:rsidR="00511F9E">
        <w:rPr>
          <w:sz w:val="24"/>
          <w:szCs w:val="24"/>
        </w:rPr>
        <w:t>l</w:t>
      </w:r>
      <w:r w:rsidR="005C2D61">
        <w:rPr>
          <w:sz w:val="24"/>
          <w:szCs w:val="24"/>
        </w:rPr>
        <w:t xml:space="preserve"> matrimonio </w:t>
      </w:r>
      <w:r w:rsidR="00511F9E">
        <w:rPr>
          <w:sz w:val="24"/>
          <w:szCs w:val="24"/>
        </w:rPr>
        <w:t xml:space="preserve">demandante </w:t>
      </w:r>
      <w:r>
        <w:rPr>
          <w:sz w:val="24"/>
          <w:szCs w:val="24"/>
        </w:rPr>
        <w:t>el principal invertido</w:t>
      </w:r>
      <w:r w:rsidR="005C2D61">
        <w:rPr>
          <w:sz w:val="24"/>
          <w:szCs w:val="24"/>
        </w:rPr>
        <w:t xml:space="preserve"> en la compra de dos bonos ordinarios </w:t>
      </w:r>
      <w:r>
        <w:rPr>
          <w:sz w:val="24"/>
          <w:szCs w:val="24"/>
        </w:rPr>
        <w:t xml:space="preserve">(en torno a </w:t>
      </w:r>
      <w:r w:rsidR="005C2D61">
        <w:rPr>
          <w:sz w:val="24"/>
          <w:szCs w:val="24"/>
        </w:rPr>
        <w:t>100</w:t>
      </w:r>
      <w:r>
        <w:rPr>
          <w:sz w:val="24"/>
          <w:szCs w:val="24"/>
        </w:rPr>
        <w:t>.000 e</w:t>
      </w:r>
      <w:r>
        <w:rPr>
          <w:sz w:val="24"/>
          <w:szCs w:val="24"/>
          <w:lang w:val="pt-PT"/>
        </w:rPr>
        <w:t>uros)</w:t>
      </w:r>
      <w:r w:rsidR="005C2D61">
        <w:rPr>
          <w:sz w:val="24"/>
          <w:szCs w:val="24"/>
          <w:lang w:val="pt-PT"/>
        </w:rPr>
        <w:t xml:space="preserve"> – en concreto 98.479,57 € - </w:t>
      </w:r>
      <w:r>
        <w:rPr>
          <w:sz w:val="24"/>
          <w:szCs w:val="24"/>
          <w:lang w:val="pt-PT"/>
        </w:rPr>
        <w:t>más</w:t>
      </w:r>
      <w:r>
        <w:rPr>
          <w:sz w:val="24"/>
          <w:szCs w:val="24"/>
        </w:rPr>
        <w:t xml:space="preserve"> intereses y costas</w:t>
      </w:r>
      <w:r w:rsidR="005C2D61">
        <w:rPr>
          <w:sz w:val="24"/>
          <w:szCs w:val="24"/>
        </w:rPr>
        <w:t xml:space="preserve"> procesales</w:t>
      </w:r>
      <w:r>
        <w:rPr>
          <w:sz w:val="24"/>
          <w:szCs w:val="24"/>
        </w:rPr>
        <w:t>.</w:t>
      </w:r>
    </w:p>
    <w:p w14:paraId="7E849B1D" w14:textId="69D246C6" w:rsidR="00C07FBA" w:rsidRDefault="005C2D61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matrimonio de </w:t>
      </w:r>
      <w:r w:rsidR="005D1549">
        <w:rPr>
          <w:sz w:val="24"/>
          <w:szCs w:val="24"/>
        </w:rPr>
        <w:t>bonista</w:t>
      </w:r>
      <w:r>
        <w:rPr>
          <w:sz w:val="24"/>
          <w:szCs w:val="24"/>
        </w:rPr>
        <w:t>s</w:t>
      </w:r>
      <w:r w:rsidR="005D1549">
        <w:rPr>
          <w:sz w:val="24"/>
          <w:szCs w:val="24"/>
        </w:rPr>
        <w:t>, cliente</w:t>
      </w:r>
      <w:r>
        <w:rPr>
          <w:sz w:val="24"/>
          <w:szCs w:val="24"/>
        </w:rPr>
        <w:t>s</w:t>
      </w:r>
      <w:r w:rsidR="005D1549">
        <w:rPr>
          <w:sz w:val="24"/>
          <w:szCs w:val="24"/>
        </w:rPr>
        <w:t xml:space="preserve"> del despacho “Durán &amp; </w:t>
      </w:r>
      <w:r w:rsidR="00770879">
        <w:rPr>
          <w:sz w:val="24"/>
          <w:szCs w:val="24"/>
        </w:rPr>
        <w:t>Durán</w:t>
      </w:r>
      <w:r w:rsidR="005D1549">
        <w:rPr>
          <w:sz w:val="24"/>
          <w:szCs w:val="24"/>
        </w:rPr>
        <w:t xml:space="preserve"> Abogados”, </w:t>
      </w:r>
      <w:bookmarkStart w:id="0" w:name="_GoBack"/>
      <w:bookmarkEnd w:id="0"/>
      <w:r w:rsidR="005D1549">
        <w:rPr>
          <w:sz w:val="24"/>
          <w:szCs w:val="24"/>
        </w:rPr>
        <w:t>en Sevilla, tenía</w:t>
      </w:r>
      <w:r>
        <w:rPr>
          <w:sz w:val="24"/>
          <w:szCs w:val="24"/>
        </w:rPr>
        <w:t>n</w:t>
      </w:r>
      <w:r w:rsidR="005D1549">
        <w:rPr>
          <w:sz w:val="24"/>
          <w:szCs w:val="24"/>
        </w:rPr>
        <w:t xml:space="preserve"> como profesión </w:t>
      </w:r>
      <w:r>
        <w:rPr>
          <w:sz w:val="24"/>
          <w:szCs w:val="24"/>
        </w:rPr>
        <w:t xml:space="preserve">habitual, la de camarero él </w:t>
      </w:r>
      <w:r w:rsidR="00511F9E">
        <w:rPr>
          <w:sz w:val="24"/>
          <w:szCs w:val="24"/>
        </w:rPr>
        <w:t>-ya jubilado -</w:t>
      </w:r>
      <w:r>
        <w:rPr>
          <w:sz w:val="24"/>
          <w:szCs w:val="24"/>
        </w:rPr>
        <w:t>y ama de casa</w:t>
      </w:r>
      <w:r w:rsidR="00511F9E">
        <w:rPr>
          <w:sz w:val="24"/>
          <w:szCs w:val="24"/>
        </w:rPr>
        <w:t xml:space="preserve">, </w:t>
      </w:r>
      <w:r w:rsidR="006E38BA">
        <w:rPr>
          <w:sz w:val="24"/>
          <w:szCs w:val="24"/>
        </w:rPr>
        <w:t>ella</w:t>
      </w:r>
      <w:r w:rsidR="005D1549">
        <w:rPr>
          <w:sz w:val="24"/>
          <w:szCs w:val="24"/>
        </w:rPr>
        <w:t>; carec</w:t>
      </w:r>
      <w:r>
        <w:rPr>
          <w:sz w:val="24"/>
          <w:szCs w:val="24"/>
        </w:rPr>
        <w:t xml:space="preserve">iendo ambos de </w:t>
      </w:r>
      <w:r w:rsidR="005D1549">
        <w:rPr>
          <w:sz w:val="24"/>
          <w:szCs w:val="24"/>
        </w:rPr>
        <w:t>conocimientos ni experiencia en materia financiera</w:t>
      </w:r>
      <w:r w:rsidR="00511F9E">
        <w:rPr>
          <w:sz w:val="24"/>
          <w:szCs w:val="24"/>
        </w:rPr>
        <w:t xml:space="preserve"> en estos productos</w:t>
      </w:r>
      <w:r w:rsidR="005D1549">
        <w:rPr>
          <w:sz w:val="24"/>
          <w:szCs w:val="24"/>
        </w:rPr>
        <w:t>.</w:t>
      </w:r>
    </w:p>
    <w:p w14:paraId="403FB2D4" w14:textId="0D9E184A" w:rsidR="00C07FBA" w:rsidRDefault="005D154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>En este caso, l</w:t>
      </w:r>
      <w:r w:rsidR="00B507F1">
        <w:rPr>
          <w:sz w:val="24"/>
          <w:szCs w:val="24"/>
        </w:rPr>
        <w:t xml:space="preserve">os </w:t>
      </w:r>
      <w:r>
        <w:rPr>
          <w:sz w:val="24"/>
          <w:szCs w:val="24"/>
        </w:rPr>
        <w:t>bonista</w:t>
      </w:r>
      <w:r w:rsidR="00B507F1">
        <w:rPr>
          <w:sz w:val="24"/>
          <w:szCs w:val="24"/>
        </w:rPr>
        <w:t>s</w:t>
      </w:r>
      <w:r>
        <w:rPr>
          <w:sz w:val="24"/>
          <w:szCs w:val="24"/>
        </w:rPr>
        <w:t>, de perfil claramente conservador, invirti</w:t>
      </w:r>
      <w:r w:rsidR="00B507F1">
        <w:rPr>
          <w:sz w:val="24"/>
          <w:szCs w:val="24"/>
        </w:rPr>
        <w:t xml:space="preserve">eron </w:t>
      </w:r>
      <w:r>
        <w:rPr>
          <w:sz w:val="24"/>
          <w:szCs w:val="24"/>
        </w:rPr>
        <w:t>sus ahorros siguiendo la recomendación de los empleados del Banco</w:t>
      </w:r>
      <w:r w:rsidR="00511F9E">
        <w:rPr>
          <w:sz w:val="24"/>
          <w:szCs w:val="24"/>
        </w:rPr>
        <w:t xml:space="preserve">, en particular del director de su oficina, </w:t>
      </w:r>
      <w:r>
        <w:rPr>
          <w:sz w:val="24"/>
          <w:szCs w:val="24"/>
        </w:rPr>
        <w:t>quienes, basándose en la relación de confianza, le aconsejaron la adquisición de los Bonos Abengoa por su elevada rentabilidad y seguridad, sin advertirle de la complejidad y los numerosos y auténticos riesgos del producto</w:t>
      </w:r>
      <w:r w:rsidR="00B507F1">
        <w:rPr>
          <w:sz w:val="24"/>
          <w:szCs w:val="24"/>
        </w:rPr>
        <w:t>.</w:t>
      </w:r>
    </w:p>
    <w:p w14:paraId="66BC3C44" w14:textId="39049725" w:rsidR="00C07FBA" w:rsidRDefault="005D154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Así, tras adquirir los bonos con fecha </w:t>
      </w:r>
      <w:r w:rsidR="00B507F1">
        <w:rPr>
          <w:sz w:val="24"/>
          <w:szCs w:val="24"/>
        </w:rPr>
        <w:t xml:space="preserve">22 de noviembre </w:t>
      </w:r>
      <w:r>
        <w:rPr>
          <w:sz w:val="24"/>
          <w:szCs w:val="24"/>
        </w:rPr>
        <w:t xml:space="preserve">de 2010, a la llegada la fecha de su vencimiento (31 de marzo 2016), </w:t>
      </w:r>
      <w:r w:rsidR="00B507F1">
        <w:rPr>
          <w:sz w:val="24"/>
          <w:szCs w:val="24"/>
        </w:rPr>
        <w:t xml:space="preserve">los </w:t>
      </w:r>
      <w:r>
        <w:rPr>
          <w:sz w:val="24"/>
          <w:szCs w:val="24"/>
        </w:rPr>
        <w:t>inversor</w:t>
      </w:r>
      <w:r w:rsidR="00B507F1">
        <w:rPr>
          <w:sz w:val="24"/>
          <w:szCs w:val="24"/>
        </w:rPr>
        <w:t>es</w:t>
      </w:r>
      <w:r>
        <w:rPr>
          <w:sz w:val="24"/>
          <w:szCs w:val="24"/>
        </w:rPr>
        <w:t xml:space="preserve"> minorista</w:t>
      </w:r>
      <w:r w:rsidR="00B507F1">
        <w:rPr>
          <w:sz w:val="24"/>
          <w:szCs w:val="24"/>
        </w:rPr>
        <w:t>s</w:t>
      </w:r>
      <w:r>
        <w:rPr>
          <w:sz w:val="24"/>
          <w:szCs w:val="24"/>
        </w:rPr>
        <w:t xml:space="preserve"> no </w:t>
      </w:r>
      <w:r w:rsidR="003D1F45">
        <w:rPr>
          <w:sz w:val="24"/>
          <w:szCs w:val="24"/>
        </w:rPr>
        <w:t xml:space="preserve">pudieron </w:t>
      </w:r>
      <w:r>
        <w:rPr>
          <w:sz w:val="24"/>
          <w:szCs w:val="24"/>
        </w:rPr>
        <w:t>rescatar el capital suscrito en los Bonos, perdiendo la totalidad de la cantidad invertida.</w:t>
      </w:r>
      <w:r w:rsidR="003D1F45">
        <w:rPr>
          <w:sz w:val="24"/>
          <w:szCs w:val="24"/>
        </w:rPr>
        <w:t xml:space="preserve"> </w:t>
      </w:r>
    </w:p>
    <w:p w14:paraId="76CA4EF2" w14:textId="6F5EC4A7" w:rsidR="003D1F45" w:rsidRDefault="00511F9E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>Pues bien, c</w:t>
      </w:r>
      <w:r w:rsidR="003D1F45">
        <w:rPr>
          <w:sz w:val="24"/>
          <w:szCs w:val="24"/>
        </w:rPr>
        <w:t xml:space="preserve">oncluye la sentencia </w:t>
      </w:r>
      <w:r>
        <w:rPr>
          <w:sz w:val="24"/>
          <w:szCs w:val="24"/>
        </w:rPr>
        <w:t>dictada por este Juzgado de Primera Instancia nº 3 de Sevilla, q</w:t>
      </w:r>
      <w:r w:rsidR="003D1F45">
        <w:rPr>
          <w:sz w:val="24"/>
          <w:szCs w:val="24"/>
        </w:rPr>
        <w:t xml:space="preserve">ue la información precontractual proporcionada por la entidad bancaria demandada no fue la necesaria para “asegurarse de que los clientes comprendían la naturaleza y riesgos de los bonos Abengoa.”  </w:t>
      </w:r>
    </w:p>
    <w:p w14:paraId="283A66EC" w14:textId="77777777" w:rsidR="00091279" w:rsidRDefault="005D154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Así mismo, la Sentencia determina que “no </w:t>
      </w:r>
      <w:r w:rsidR="003D1F45">
        <w:rPr>
          <w:sz w:val="24"/>
          <w:szCs w:val="24"/>
        </w:rPr>
        <w:t xml:space="preserve">se ha acreditado </w:t>
      </w:r>
      <w:r w:rsidR="00091279">
        <w:rPr>
          <w:sz w:val="24"/>
          <w:szCs w:val="24"/>
        </w:rPr>
        <w:t>que los actores c</w:t>
      </w:r>
      <w:r>
        <w:rPr>
          <w:sz w:val="24"/>
          <w:szCs w:val="24"/>
        </w:rPr>
        <w:t>onta</w:t>
      </w:r>
      <w:r w:rsidR="00091279">
        <w:rPr>
          <w:sz w:val="24"/>
          <w:szCs w:val="24"/>
        </w:rPr>
        <w:t xml:space="preserve">ran, en el momento de la contratación, con formación ni experiencia inversora que le </w:t>
      </w:r>
      <w:r w:rsidR="00091279">
        <w:rPr>
          <w:sz w:val="24"/>
          <w:szCs w:val="24"/>
        </w:rPr>
        <w:lastRenderedPageBreak/>
        <w:t>permitieran tener un conocimiento de las características del producto complejo litigioso”.</w:t>
      </w:r>
    </w:p>
    <w:p w14:paraId="45A2F231" w14:textId="0BD148B1" w:rsidR="00C07FBA" w:rsidRDefault="0009127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continuar concluyendo que “debió realizarse tanto el test de </w:t>
      </w:r>
      <w:r w:rsidR="005D1549">
        <w:rPr>
          <w:sz w:val="24"/>
          <w:szCs w:val="24"/>
        </w:rPr>
        <w:t xml:space="preserve">idoneidad </w:t>
      </w:r>
      <w:r>
        <w:rPr>
          <w:sz w:val="24"/>
          <w:szCs w:val="24"/>
        </w:rPr>
        <w:t xml:space="preserve">-que no se hizo - como el test de </w:t>
      </w:r>
      <w:r w:rsidR="005D1549">
        <w:rPr>
          <w:sz w:val="24"/>
          <w:szCs w:val="24"/>
        </w:rPr>
        <w:t>conveniencia</w:t>
      </w:r>
      <w:r>
        <w:rPr>
          <w:sz w:val="24"/>
          <w:szCs w:val="24"/>
        </w:rPr>
        <w:t xml:space="preserve"> y la entidad financiera debía realizar un seguimiento de la inversión que había asesorado, máxime teniendo en cuenta el riesgo de la inversión y la negativa evolución de la situación crediticia que atravesaba el emisor.” </w:t>
      </w:r>
    </w:p>
    <w:p w14:paraId="78AE907F" w14:textId="037D42D4" w:rsidR="00C07FBA" w:rsidRDefault="005D1549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definitiva, </w:t>
      </w:r>
      <w:r w:rsidR="00091279">
        <w:rPr>
          <w:sz w:val="24"/>
          <w:szCs w:val="24"/>
        </w:rPr>
        <w:t>estando viciado e</w:t>
      </w:r>
      <w:r>
        <w:rPr>
          <w:sz w:val="24"/>
          <w:szCs w:val="24"/>
        </w:rPr>
        <w:t xml:space="preserve">l </w:t>
      </w:r>
      <w:r w:rsidR="00091279">
        <w:rPr>
          <w:sz w:val="24"/>
          <w:szCs w:val="24"/>
        </w:rPr>
        <w:t xml:space="preserve">consentimiento de los inversores en el momento de la contratación </w:t>
      </w:r>
      <w:r w:rsidR="006E38BA">
        <w:rPr>
          <w:sz w:val="24"/>
          <w:szCs w:val="24"/>
        </w:rPr>
        <w:t>por</w:t>
      </w:r>
      <w:r w:rsidR="00091279">
        <w:rPr>
          <w:sz w:val="24"/>
          <w:szCs w:val="24"/>
        </w:rPr>
        <w:t xml:space="preserve"> </w:t>
      </w:r>
      <w:r w:rsidR="00511F9E">
        <w:rPr>
          <w:sz w:val="24"/>
          <w:szCs w:val="24"/>
        </w:rPr>
        <w:t xml:space="preserve">el </w:t>
      </w:r>
      <w:r w:rsidR="006E38BA">
        <w:rPr>
          <w:sz w:val="24"/>
          <w:szCs w:val="24"/>
        </w:rPr>
        <w:t>error</w:t>
      </w:r>
      <w:r w:rsidR="00511F9E">
        <w:rPr>
          <w:sz w:val="24"/>
          <w:szCs w:val="24"/>
        </w:rPr>
        <w:t xml:space="preserve"> inducido por el banco</w:t>
      </w:r>
      <w:r w:rsidR="006E38BA">
        <w:rPr>
          <w:sz w:val="24"/>
          <w:szCs w:val="24"/>
        </w:rPr>
        <w:t xml:space="preserve">, la </w:t>
      </w:r>
      <w:r>
        <w:rPr>
          <w:sz w:val="24"/>
          <w:szCs w:val="24"/>
        </w:rPr>
        <w:t xml:space="preserve">Sentencia en su Fallo </w:t>
      </w:r>
      <w:r w:rsidR="006E38BA">
        <w:rPr>
          <w:sz w:val="24"/>
          <w:szCs w:val="24"/>
        </w:rPr>
        <w:t xml:space="preserve">declara la nulidad de las órdenes de compra de esos 2 bonos ordinarios de Abengoa y </w:t>
      </w:r>
      <w:r>
        <w:rPr>
          <w:sz w:val="24"/>
          <w:szCs w:val="24"/>
        </w:rPr>
        <w:t xml:space="preserve">condena a la entidad </w:t>
      </w:r>
      <w:r w:rsidR="006E38BA">
        <w:rPr>
          <w:sz w:val="24"/>
          <w:szCs w:val="24"/>
        </w:rPr>
        <w:t>LIBERBANK</w:t>
      </w:r>
      <w:r>
        <w:rPr>
          <w:sz w:val="24"/>
          <w:szCs w:val="24"/>
        </w:rPr>
        <w:t xml:space="preserve"> a la devolución a la actora de la suma de la cantidad invertida (</w:t>
      </w:r>
      <w:r w:rsidR="006E38BA">
        <w:rPr>
          <w:sz w:val="24"/>
          <w:szCs w:val="24"/>
        </w:rPr>
        <w:t>98.479,57</w:t>
      </w:r>
      <w:r>
        <w:rPr>
          <w:sz w:val="24"/>
          <w:szCs w:val="24"/>
        </w:rPr>
        <w:t>.-</w:t>
      </w:r>
      <w:r>
        <w:rPr>
          <w:sz w:val="24"/>
          <w:szCs w:val="24"/>
          <w:lang w:val="pt-PT"/>
        </w:rPr>
        <w:t>€</w:t>
      </w:r>
      <w:r>
        <w:rPr>
          <w:sz w:val="24"/>
          <w:szCs w:val="24"/>
        </w:rPr>
        <w:t xml:space="preserve">) más los intereses correspondientes desde la fecha de adquisición de los Bonos, debiendo </w:t>
      </w:r>
      <w:r w:rsidR="006E38BA">
        <w:rPr>
          <w:sz w:val="24"/>
          <w:szCs w:val="24"/>
        </w:rPr>
        <w:t>los clientes</w:t>
      </w:r>
      <w:r>
        <w:rPr>
          <w:sz w:val="24"/>
          <w:szCs w:val="24"/>
        </w:rPr>
        <w:t>, en aplicación del principio de restitución</w:t>
      </w:r>
      <w:r>
        <w:rPr>
          <w:sz w:val="24"/>
          <w:szCs w:val="24"/>
          <w:lang w:val="en-US"/>
        </w:rPr>
        <w:t>n rec</w:t>
      </w:r>
      <w:r>
        <w:rPr>
          <w:sz w:val="24"/>
          <w:szCs w:val="24"/>
        </w:rPr>
        <w:t>íproca,</w:t>
      </w:r>
      <w:r w:rsidR="006E38BA" w:rsidRPr="006E38BA">
        <w:rPr>
          <w:sz w:val="24"/>
          <w:szCs w:val="24"/>
        </w:rPr>
        <w:t xml:space="preserve"> </w:t>
      </w:r>
      <w:r w:rsidR="006E38BA">
        <w:rPr>
          <w:sz w:val="24"/>
          <w:szCs w:val="24"/>
        </w:rPr>
        <w:t>poner a disposición del banco</w:t>
      </w:r>
      <w:r>
        <w:rPr>
          <w:sz w:val="24"/>
          <w:szCs w:val="24"/>
        </w:rPr>
        <w:t xml:space="preserve"> los </w:t>
      </w:r>
      <w:r w:rsidR="006E38BA">
        <w:rPr>
          <w:sz w:val="24"/>
          <w:szCs w:val="24"/>
        </w:rPr>
        <w:t>b</w:t>
      </w:r>
      <w:r>
        <w:rPr>
          <w:sz w:val="24"/>
          <w:szCs w:val="24"/>
        </w:rPr>
        <w:t>onos o  producto que los haya sustituido</w:t>
      </w:r>
      <w:r w:rsidR="006E38BA">
        <w:rPr>
          <w:sz w:val="24"/>
          <w:szCs w:val="24"/>
        </w:rPr>
        <w:t xml:space="preserve">, </w:t>
      </w:r>
      <w:r>
        <w:rPr>
          <w:sz w:val="24"/>
          <w:szCs w:val="24"/>
        </w:rPr>
        <w:t>cediendo a la entidad financiera su posición jurídica en el convenio de reestructuració</w:t>
      </w:r>
      <w:r>
        <w:rPr>
          <w:sz w:val="24"/>
          <w:szCs w:val="24"/>
          <w:lang w:val="nl-NL"/>
        </w:rPr>
        <w:t xml:space="preserve">n de Abengoa. </w:t>
      </w:r>
    </w:p>
    <w:sectPr w:rsidR="00C07FBA">
      <w:headerReference w:type="default" r:id="rId7"/>
      <w:footerReference w:type="default" r:id="rId8"/>
      <w:pgSz w:w="11900" w:h="16840"/>
      <w:pgMar w:top="1417" w:right="1701" w:bottom="1417" w:left="1701" w:header="708" w:footer="1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6FFDA" w14:textId="77777777" w:rsidR="003857AE" w:rsidRDefault="005D1549">
      <w:r>
        <w:separator/>
      </w:r>
    </w:p>
  </w:endnote>
  <w:endnote w:type="continuationSeparator" w:id="0">
    <w:p w14:paraId="58056950" w14:textId="77777777" w:rsidR="003857AE" w:rsidRDefault="005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8D2FF" w14:textId="77777777" w:rsidR="00C07FBA" w:rsidRDefault="005D1549">
    <w:pPr>
      <w:pStyle w:val="Cuerpo"/>
    </w:pPr>
    <w:r>
      <w:rPr>
        <w:rStyle w:val="Ninguno"/>
        <w:rFonts w:ascii="Arial" w:hAnsi="Arial"/>
        <w:b/>
        <w:bCs/>
        <w:sz w:val="16"/>
        <w:szCs w:val="16"/>
      </w:rPr>
      <w:t>Barcelona,</w:t>
    </w:r>
    <w:r>
      <w:rPr>
        <w:rStyle w:val="Ninguno"/>
        <w:rFonts w:ascii="Arial" w:hAnsi="Arial"/>
        <w:sz w:val="16"/>
        <w:szCs w:val="16"/>
      </w:rPr>
      <w:t xml:space="preserve"> Avda. Diagonal, 472, 2ª </w:t>
    </w:r>
    <w:r>
      <w:rPr>
        <w:rStyle w:val="Ninguno"/>
        <w:rFonts w:ascii="Arial" w:hAnsi="Arial"/>
        <w:sz w:val="16"/>
        <w:szCs w:val="16"/>
        <w:lang w:val="pt-PT"/>
      </w:rPr>
      <w:t xml:space="preserve">pl. Escalera A Edificio Windsor. 08006 Barcelona </w:t>
    </w:r>
    <w:r>
      <w:rPr>
        <w:rStyle w:val="Ninguno"/>
        <w:rFonts w:ascii="Arial" w:hAnsi="Arial"/>
        <w:b/>
        <w:bCs/>
        <w:sz w:val="16"/>
        <w:szCs w:val="16"/>
        <w:lang w:val="pt-PT"/>
      </w:rPr>
      <w:t>Tel. 93 654 86 40</w:t>
    </w:r>
    <w:r>
      <w:rPr>
        <w:rStyle w:val="Ninguno"/>
        <w:rFonts w:ascii="Arial" w:hAnsi="Arial"/>
        <w:sz w:val="16"/>
        <w:szCs w:val="16"/>
      </w:rPr>
      <w:t xml:space="preserve"> Fax. 93 639 32 49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C535E" w14:textId="77777777" w:rsidR="003857AE" w:rsidRDefault="005D1549">
      <w:r>
        <w:separator/>
      </w:r>
    </w:p>
  </w:footnote>
  <w:footnote w:type="continuationSeparator" w:id="0">
    <w:p w14:paraId="371ADDDA" w14:textId="77777777" w:rsidR="003857AE" w:rsidRDefault="005D15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AB892" w14:textId="77777777" w:rsidR="00C07FBA" w:rsidRDefault="005D1549">
    <w:pPr>
      <w:pStyle w:val="Encabezado"/>
      <w:tabs>
        <w:tab w:val="clear" w:pos="8504"/>
        <w:tab w:val="right" w:pos="8478"/>
      </w:tabs>
      <w:jc w:val="right"/>
    </w:pP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521D60D" wp14:editId="0E1D99B3">
              <wp:simplePos x="0" y="0"/>
              <wp:positionH relativeFrom="page">
                <wp:posOffset>-2589212</wp:posOffset>
              </wp:positionH>
              <wp:positionV relativeFrom="page">
                <wp:posOffset>5590857</wp:posOffset>
              </wp:positionV>
              <wp:extent cx="5561966" cy="335280"/>
              <wp:effectExtent l="0" t="0" r="0" b="0"/>
              <wp:wrapNone/>
              <wp:docPr id="1073741825" name="officeArt object" descr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561966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F0D8728" w14:textId="77777777" w:rsidR="00C07FBA" w:rsidRDefault="005D1549">
                          <w:pPr>
                            <w:pStyle w:val="Piedepgina"/>
                          </w:pPr>
                          <w:r>
                            <w:rPr>
                              <w:rStyle w:val="Ninguno"/>
                              <w:color w:val="A6A6A6"/>
                              <w:sz w:val="20"/>
                              <w:szCs w:val="20"/>
                              <w:u w:color="A6A6A6"/>
                            </w:rPr>
                            <w:t>Inscrita en el Registro Mercantil de Barcelona, Tomo 43783, Folio 0214, Hoja b-438212, Inscripción 1ª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521D60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Cuadro de texto 2" style="position:absolute;left:0;text-align:left;margin-left:-203.85pt;margin-top:440.2pt;width:437.95pt;height:26.4pt;rotation:-90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" stroked="f" strokeweight="1pt">
              <v:stroke miterlimit="4"/>
              <v:textbox inset="1.27mm,1.27mm,1.27mm,1.27mm">
                <w:txbxContent>
                  <w:p w14:paraId="7F0D8728" w14:textId="77777777" w:rsidR="00C07FBA" w:rsidRDefault="005D1549">
                    <w:pPr>
                      <w:pStyle w:val="Piedepgina"/>
                    </w:pPr>
                    <w:r>
                      <w:rPr>
                        <w:rStyle w:val="Ninguno"/>
                        <w:color w:val="A6A6A6"/>
                        <w:sz w:val="20"/>
                        <w:szCs w:val="20"/>
                        <w:u w:color="A6A6A6"/>
                      </w:rPr>
                      <w:t xml:space="preserve">Inscrita en el Registro Mercantil de Barcelona, Tomo 43783, Folio 0214, Hoja b-438212, </w:t>
                    </w:r>
                    <w:r>
                      <w:rPr>
                        <w:rStyle w:val="Ninguno"/>
                        <w:color w:val="A6A6A6"/>
                        <w:sz w:val="20"/>
                        <w:szCs w:val="20"/>
                        <w:u w:color="A6A6A6"/>
                      </w:rPr>
                      <w:t>Inscripción 1ª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w:drawing>
        <wp:anchor distT="152400" distB="152400" distL="152400" distR="152400" simplePos="0" relativeHeight="251659264" behindDoc="1" locked="0" layoutInCell="1" allowOverlap="1" wp14:anchorId="209E2DDD" wp14:editId="6F5235D9">
          <wp:simplePos x="0" y="0"/>
          <wp:positionH relativeFrom="page">
            <wp:posOffset>2844800</wp:posOffset>
          </wp:positionH>
          <wp:positionV relativeFrom="page">
            <wp:posOffset>133350</wp:posOffset>
          </wp:positionV>
          <wp:extent cx="2136140" cy="1287781"/>
          <wp:effectExtent l="0" t="0" r="0" b="0"/>
          <wp:wrapNone/>
          <wp:docPr id="1073741826" name="officeArt object" descr="LOGO MARRON Y NEG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MARRON Y NEGRO" descr="LOGO MARRON Y NEGR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6140" cy="12877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E8B95F" wp14:editId="5E1C4EF2">
              <wp:simplePos x="0" y="0"/>
              <wp:positionH relativeFrom="page">
                <wp:posOffset>565467</wp:posOffset>
              </wp:positionH>
              <wp:positionV relativeFrom="page">
                <wp:posOffset>10237469</wp:posOffset>
              </wp:positionV>
              <wp:extent cx="6429375" cy="0"/>
              <wp:effectExtent l="0" t="0" r="0" b="0"/>
              <wp:wrapNone/>
              <wp:docPr id="1073741827" name="officeArt object" descr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_x0000_s1027" style="visibility:visible;position:absolute;margin-left:44.5pt;margin-top:806.1pt;width:506.2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ED7D31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>NOTA DE PRENSA</w:t>
    </w:r>
    <w:r>
      <w:tab/>
    </w:r>
  </w:p>
  <w:p w14:paraId="6E577C19" w14:textId="77777777" w:rsidR="00C07FBA" w:rsidRDefault="00C07FBA">
    <w:pPr>
      <w:pStyle w:val="Encabezado"/>
      <w:tabs>
        <w:tab w:val="clear" w:pos="8504"/>
        <w:tab w:val="right" w:pos="8478"/>
      </w:tabs>
    </w:pPr>
  </w:p>
  <w:p w14:paraId="2D40BABA" w14:textId="77777777" w:rsidR="00C07FBA" w:rsidRDefault="00C07FBA">
    <w:pPr>
      <w:pStyle w:val="Encabezado"/>
      <w:tabs>
        <w:tab w:val="clear" w:pos="8504"/>
        <w:tab w:val="right" w:pos="8478"/>
      </w:tabs>
    </w:pPr>
  </w:p>
  <w:p w14:paraId="27483DED" w14:textId="77777777" w:rsidR="00C07FBA" w:rsidRDefault="00C07FBA">
    <w:pPr>
      <w:pStyle w:val="Encabezado"/>
      <w:tabs>
        <w:tab w:val="clear" w:pos="8504"/>
        <w:tab w:val="right" w:pos="847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BA"/>
    <w:rsid w:val="00091279"/>
    <w:rsid w:val="003857AE"/>
    <w:rsid w:val="003D1F45"/>
    <w:rsid w:val="00511F9E"/>
    <w:rsid w:val="005C2D61"/>
    <w:rsid w:val="005D1549"/>
    <w:rsid w:val="006E38BA"/>
    <w:rsid w:val="00770879"/>
    <w:rsid w:val="007A3CB0"/>
    <w:rsid w:val="00B507F1"/>
    <w:rsid w:val="00C07FBA"/>
    <w:rsid w:val="00C7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82C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3100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Héctor Durán Cruz</cp:lastModifiedBy>
  <cp:revision>3</cp:revision>
  <dcterms:created xsi:type="dcterms:W3CDTF">2019-11-11T09:00:00Z</dcterms:created>
  <dcterms:modified xsi:type="dcterms:W3CDTF">2019-11-11T09:01:00Z</dcterms:modified>
</cp:coreProperties>
</file>