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67DC7" w14:textId="205BE113" w:rsidR="00984FE3" w:rsidRPr="00C803D7" w:rsidRDefault="006773DB" w:rsidP="00EE3A8B">
      <w:pPr>
        <w:jc w:val="both"/>
        <w:rPr>
          <w:rFonts w:ascii="Bookman Old Style" w:hAnsi="Bookman Old Style"/>
          <w:b/>
          <w:bCs/>
          <w:sz w:val="28"/>
          <w:szCs w:val="28"/>
        </w:rPr>
      </w:pPr>
      <w:r w:rsidRPr="00C803D7">
        <w:rPr>
          <w:rFonts w:ascii="Bookman Old Style" w:hAnsi="Bookman Old Style"/>
          <w:b/>
          <w:bCs/>
          <w:sz w:val="28"/>
          <w:szCs w:val="28"/>
        </w:rPr>
        <w:t>BANCO SANTANDER CONDENADO A DEVOLVER QUINIENTOS MIL EUROS (500.000€) POR LA ADQUISICIÓN EN 2011 DE OBLIGACIONES SUBORDINADAS DE BANCO POPULAR</w:t>
      </w:r>
      <w:r w:rsidR="00C803D7">
        <w:rPr>
          <w:rFonts w:ascii="Bookman Old Style" w:hAnsi="Bookman Old Style"/>
          <w:b/>
          <w:bCs/>
          <w:sz w:val="28"/>
          <w:szCs w:val="28"/>
        </w:rPr>
        <w:t xml:space="preserve"> POR PARTE DE UN MATRIMONIO JUBILADO. - </w:t>
      </w:r>
    </w:p>
    <w:p w14:paraId="3CA01288" w14:textId="4A6927BC" w:rsidR="006773DB" w:rsidRDefault="006773DB" w:rsidP="00EE3A8B">
      <w:pPr>
        <w:jc w:val="both"/>
        <w:rPr>
          <w:rFonts w:ascii="Bookman Old Style" w:hAnsi="Bookman Old Style"/>
          <w:b/>
          <w:bCs/>
          <w:sz w:val="28"/>
          <w:szCs w:val="28"/>
        </w:rPr>
      </w:pPr>
      <w:r w:rsidRPr="00C803D7">
        <w:rPr>
          <w:rFonts w:ascii="Bookman Old Style" w:hAnsi="Bookman Old Style"/>
          <w:b/>
          <w:bCs/>
          <w:sz w:val="28"/>
          <w:szCs w:val="28"/>
        </w:rPr>
        <w:t>LOS DEMANDANTES</w:t>
      </w:r>
      <w:r w:rsidR="00C803D7">
        <w:rPr>
          <w:rFonts w:ascii="Bookman Old Style" w:hAnsi="Bookman Old Style"/>
          <w:b/>
          <w:bCs/>
          <w:sz w:val="28"/>
          <w:szCs w:val="28"/>
        </w:rPr>
        <w:t xml:space="preserve">, </w:t>
      </w:r>
      <w:r w:rsidRPr="00C803D7">
        <w:rPr>
          <w:rFonts w:ascii="Bookman Old Style" w:hAnsi="Bookman Old Style"/>
          <w:b/>
          <w:bCs/>
          <w:sz w:val="28"/>
          <w:szCs w:val="28"/>
        </w:rPr>
        <w:t>TAXISTA Y ADMINISTRATIVA</w:t>
      </w:r>
      <w:r w:rsidR="00C803D7">
        <w:rPr>
          <w:rFonts w:ascii="Bookman Old Style" w:hAnsi="Bookman Old Style"/>
          <w:b/>
          <w:bCs/>
          <w:sz w:val="28"/>
          <w:szCs w:val="28"/>
        </w:rPr>
        <w:t xml:space="preserve"> RESPECTIVAMENTE, YA</w:t>
      </w:r>
      <w:r w:rsidRPr="00C803D7">
        <w:rPr>
          <w:rFonts w:ascii="Bookman Old Style" w:hAnsi="Bookman Old Style"/>
          <w:b/>
          <w:bCs/>
          <w:sz w:val="28"/>
          <w:szCs w:val="28"/>
        </w:rPr>
        <w:t xml:space="preserve"> JUBILADOS, ACUDIERON AL DESPACHO DURAN &amp; DURAN ABOGADOS PARA RECLAMAR EL DINERO </w:t>
      </w:r>
      <w:r w:rsidR="00C803D7">
        <w:rPr>
          <w:rFonts w:ascii="Bookman Old Style" w:hAnsi="Bookman Old Style"/>
          <w:b/>
          <w:bCs/>
          <w:sz w:val="28"/>
          <w:szCs w:val="28"/>
        </w:rPr>
        <w:t>QUE PERDIERON EN BANCO POPULAR ESPAÑOL</w:t>
      </w:r>
      <w:bookmarkStart w:id="0" w:name="_GoBack"/>
      <w:bookmarkEnd w:id="0"/>
      <w:r w:rsidR="00C803D7">
        <w:rPr>
          <w:rFonts w:ascii="Bookman Old Style" w:hAnsi="Bookman Old Style"/>
          <w:b/>
          <w:bCs/>
          <w:sz w:val="28"/>
          <w:szCs w:val="28"/>
        </w:rPr>
        <w:t>.</w:t>
      </w:r>
    </w:p>
    <w:p w14:paraId="63CFBEA8" w14:textId="77777777" w:rsidR="00C803D7" w:rsidRPr="00C803D7" w:rsidRDefault="00C803D7" w:rsidP="00EE3A8B">
      <w:pPr>
        <w:jc w:val="both"/>
        <w:rPr>
          <w:rFonts w:ascii="Bookman Old Style" w:hAnsi="Bookman Old Style"/>
          <w:b/>
          <w:bCs/>
          <w:sz w:val="28"/>
          <w:szCs w:val="28"/>
        </w:rPr>
      </w:pPr>
    </w:p>
    <w:p w14:paraId="16613B52" w14:textId="0CED101E" w:rsidR="0095283D" w:rsidRPr="00C803D7" w:rsidRDefault="006773DB" w:rsidP="00EE3A8B">
      <w:pPr>
        <w:ind w:firstLine="708"/>
        <w:jc w:val="both"/>
        <w:rPr>
          <w:rFonts w:ascii="Bookman Old Style" w:hAnsi="Bookman Old Style" w:cs="Cambria"/>
          <w:b/>
          <w:bCs/>
          <w:sz w:val="24"/>
          <w:szCs w:val="24"/>
        </w:rPr>
      </w:pPr>
      <w:r w:rsidRPr="00C803D7">
        <w:rPr>
          <w:rFonts w:ascii="Bookman Old Style" w:hAnsi="Bookman Old Style"/>
          <w:b/>
          <w:bCs/>
          <w:sz w:val="24"/>
          <w:szCs w:val="24"/>
        </w:rPr>
        <w:t xml:space="preserve">El Juzgado de Primera Instancia Número 18 de Madrid, cuyo titular es el ILMO. MAGISTRADO-JUEZ </w:t>
      </w:r>
      <w:r w:rsidRPr="00C803D7">
        <w:rPr>
          <w:rFonts w:ascii="Bookman Old Style" w:hAnsi="Bookman Old Style" w:cs="Cambria"/>
          <w:b/>
          <w:bCs/>
          <w:sz w:val="24"/>
          <w:szCs w:val="24"/>
        </w:rPr>
        <w:t xml:space="preserve">SR. D. ÁLVARO RUEDA TORTUERO, ha dictado la sentencia de fecha 19 de noviembre de 2019, que estima la demanda interpuesta por el Departamento de Derecho Civil de DURAN &amp; DURAN ABOGADOS, declarando la nulidad de la adquisición de obligaciones subordinadas </w:t>
      </w:r>
      <w:r w:rsidRPr="00C803D7">
        <w:rPr>
          <w:rFonts w:ascii="Bookman Old Style" w:hAnsi="Bookman Old Style" w:cs="Cambria"/>
          <w:b/>
          <w:bCs/>
          <w:sz w:val="24"/>
          <w:szCs w:val="24"/>
        </w:rPr>
        <w:t xml:space="preserve">suscrita por </w:t>
      </w:r>
      <w:r w:rsidR="0095283D" w:rsidRPr="00C803D7">
        <w:rPr>
          <w:rFonts w:ascii="Bookman Old Style" w:hAnsi="Bookman Old Style" w:cs="Cambria"/>
          <w:b/>
          <w:bCs/>
          <w:sz w:val="24"/>
          <w:szCs w:val="24"/>
        </w:rPr>
        <w:t>un matrimonio jubilado e</w:t>
      </w:r>
      <w:r w:rsidRPr="00C803D7">
        <w:rPr>
          <w:rFonts w:ascii="Bookman Old Style" w:hAnsi="Bookman Old Style" w:cs="Cambria"/>
          <w:b/>
          <w:bCs/>
          <w:sz w:val="24"/>
          <w:szCs w:val="24"/>
        </w:rPr>
        <w:t>n fecha 25 de julio de 2011 por</w:t>
      </w:r>
      <w:r w:rsidRPr="00C803D7">
        <w:rPr>
          <w:rFonts w:ascii="Bookman Old Style" w:hAnsi="Bookman Old Style" w:cs="Cambria"/>
          <w:b/>
          <w:bCs/>
          <w:sz w:val="24"/>
          <w:szCs w:val="24"/>
        </w:rPr>
        <w:t xml:space="preserve"> </w:t>
      </w:r>
      <w:r w:rsidRPr="00C803D7">
        <w:rPr>
          <w:rFonts w:ascii="Bookman Old Style" w:hAnsi="Bookman Old Style" w:cs="Cambria"/>
          <w:b/>
          <w:bCs/>
          <w:sz w:val="24"/>
          <w:szCs w:val="24"/>
        </w:rPr>
        <w:t>importe de 500.000 euros</w:t>
      </w:r>
      <w:r w:rsidR="0095283D" w:rsidRPr="00C803D7">
        <w:rPr>
          <w:rFonts w:ascii="Bookman Old Style" w:hAnsi="Bookman Old Style" w:cs="Cambria"/>
          <w:b/>
          <w:bCs/>
          <w:sz w:val="24"/>
          <w:szCs w:val="24"/>
        </w:rPr>
        <w:t>.</w:t>
      </w:r>
    </w:p>
    <w:p w14:paraId="7EABA017" w14:textId="0BF2F7D1" w:rsidR="00DA7200" w:rsidRPr="00C803D7" w:rsidRDefault="0095283D" w:rsidP="00EE3A8B">
      <w:pPr>
        <w:ind w:firstLine="708"/>
        <w:jc w:val="both"/>
        <w:rPr>
          <w:rFonts w:ascii="Bookman Old Style" w:hAnsi="Bookman Old Style" w:cs="Cambria"/>
          <w:b/>
          <w:bCs/>
          <w:sz w:val="24"/>
          <w:szCs w:val="24"/>
        </w:rPr>
      </w:pPr>
      <w:r w:rsidRPr="00C803D7">
        <w:rPr>
          <w:rFonts w:ascii="Bookman Old Style" w:hAnsi="Bookman Old Style" w:cs="Cambria"/>
          <w:b/>
          <w:bCs/>
          <w:sz w:val="24"/>
          <w:szCs w:val="24"/>
        </w:rPr>
        <w:t>La sentencia desestima la alegación de BANCO SANTANDER por la que pretendía que se declarase caducada la acción</w:t>
      </w:r>
      <w:r w:rsidR="00DA7200" w:rsidRPr="00C803D7">
        <w:rPr>
          <w:rFonts w:ascii="Bookman Old Style" w:hAnsi="Bookman Old Style" w:cs="Cambria"/>
          <w:b/>
          <w:bCs/>
          <w:sz w:val="24"/>
          <w:szCs w:val="24"/>
        </w:rPr>
        <w:t>, considerando que e</w:t>
      </w:r>
      <w:r w:rsidR="00DA7200" w:rsidRPr="00C803D7">
        <w:rPr>
          <w:rFonts w:ascii="Bookman Old Style" w:hAnsi="Bookman Old Style" w:cs="Cambria"/>
          <w:b/>
          <w:bCs/>
          <w:sz w:val="24"/>
          <w:szCs w:val="24"/>
        </w:rPr>
        <w:t xml:space="preserve">l plazo de caducidad de cuatro años no empieza a contar hasta el día 7 de junio de 2017. </w:t>
      </w:r>
    </w:p>
    <w:p w14:paraId="3E70D700" w14:textId="0B750BCE" w:rsidR="0095283D" w:rsidRPr="00C803D7" w:rsidRDefault="0095283D" w:rsidP="00EE3A8B">
      <w:pPr>
        <w:ind w:firstLine="708"/>
        <w:jc w:val="both"/>
        <w:rPr>
          <w:rFonts w:ascii="Bookman Old Style" w:hAnsi="Bookman Old Style" w:cs="Cambria"/>
          <w:sz w:val="24"/>
          <w:szCs w:val="24"/>
        </w:rPr>
      </w:pPr>
      <w:r w:rsidRPr="00C803D7">
        <w:rPr>
          <w:rFonts w:ascii="Bookman Old Style" w:hAnsi="Bookman Old Style" w:cs="Cambria"/>
          <w:sz w:val="24"/>
          <w:szCs w:val="24"/>
        </w:rPr>
        <w:t xml:space="preserve">Concretamente, establece que: </w:t>
      </w:r>
    </w:p>
    <w:p w14:paraId="267C9978" w14:textId="11ABF545" w:rsidR="0095283D" w:rsidRPr="00C803D7" w:rsidRDefault="0095283D" w:rsidP="00EE3A8B">
      <w:pPr>
        <w:ind w:firstLine="708"/>
        <w:jc w:val="both"/>
        <w:rPr>
          <w:rFonts w:ascii="Bookman Old Style" w:hAnsi="Bookman Old Style" w:cs="Cambria"/>
          <w:b/>
          <w:bCs/>
          <w:sz w:val="24"/>
          <w:szCs w:val="24"/>
        </w:rPr>
      </w:pPr>
      <w:r w:rsidRPr="00C803D7">
        <w:rPr>
          <w:rFonts w:ascii="Bookman Old Style" w:hAnsi="Bookman Old Style" w:cs="Cambria"/>
          <w:sz w:val="24"/>
          <w:szCs w:val="24"/>
        </w:rPr>
        <w:t xml:space="preserve"> </w:t>
      </w:r>
      <w:r w:rsidRPr="00C803D7">
        <w:rPr>
          <w:rFonts w:ascii="Bookman Old Style" w:hAnsi="Bookman Old Style" w:cs="Cambria"/>
          <w:b/>
          <w:bCs/>
          <w:sz w:val="24"/>
          <w:szCs w:val="24"/>
        </w:rPr>
        <w:t>“…</w:t>
      </w:r>
      <w:r w:rsidRPr="00C803D7">
        <w:rPr>
          <w:rFonts w:ascii="Bookman Old Style" w:hAnsi="Bookman Old Style" w:cs="Cambria"/>
          <w:b/>
          <w:bCs/>
          <w:sz w:val="24"/>
          <w:szCs w:val="24"/>
        </w:rPr>
        <w:t>, no puede privarse de la acción a quien no ha podido ejercitarla</w:t>
      </w:r>
      <w:r w:rsidRPr="00C803D7">
        <w:rPr>
          <w:rFonts w:ascii="Bookman Old Style" w:hAnsi="Bookman Old Style" w:cs="Cambria"/>
          <w:b/>
          <w:bCs/>
          <w:sz w:val="24"/>
          <w:szCs w:val="24"/>
        </w:rPr>
        <w:t xml:space="preserve"> </w:t>
      </w:r>
      <w:r w:rsidRPr="00C803D7">
        <w:rPr>
          <w:rFonts w:ascii="Bookman Old Style" w:hAnsi="Bookman Old Style" w:cs="Cambria"/>
          <w:b/>
          <w:bCs/>
          <w:sz w:val="24"/>
          <w:szCs w:val="24"/>
        </w:rPr>
        <w:t>por causa que no le es imputable, como es el desconocimiento de los elementos</w:t>
      </w:r>
      <w:r w:rsidRPr="00C803D7">
        <w:rPr>
          <w:rFonts w:ascii="Bookman Old Style" w:hAnsi="Bookman Old Style" w:cs="Cambria"/>
          <w:b/>
          <w:bCs/>
          <w:sz w:val="24"/>
          <w:szCs w:val="24"/>
        </w:rPr>
        <w:t xml:space="preserve"> </w:t>
      </w:r>
      <w:r w:rsidRPr="00C803D7">
        <w:rPr>
          <w:rFonts w:ascii="Bookman Old Style" w:hAnsi="Bookman Old Style" w:cs="Cambria"/>
          <w:b/>
          <w:bCs/>
          <w:sz w:val="24"/>
          <w:szCs w:val="24"/>
        </w:rPr>
        <w:t>determinantes de la existencia del error en el consentimiento.</w:t>
      </w:r>
      <w:r w:rsidRPr="00C803D7">
        <w:rPr>
          <w:rFonts w:ascii="Bookman Old Style" w:hAnsi="Bookman Old Style" w:cs="Cambria"/>
          <w:b/>
          <w:bCs/>
          <w:sz w:val="24"/>
          <w:szCs w:val="24"/>
        </w:rPr>
        <w:t>”</w:t>
      </w:r>
    </w:p>
    <w:p w14:paraId="4E2459B0" w14:textId="788CD282" w:rsidR="0095283D" w:rsidRPr="00C803D7" w:rsidRDefault="0095283D" w:rsidP="00EE3A8B">
      <w:pPr>
        <w:jc w:val="both"/>
        <w:rPr>
          <w:rFonts w:ascii="Bookman Old Style" w:hAnsi="Bookman Old Style" w:cs="Cambria"/>
          <w:sz w:val="24"/>
          <w:szCs w:val="24"/>
        </w:rPr>
      </w:pPr>
      <w:r w:rsidRPr="00C803D7">
        <w:rPr>
          <w:rFonts w:ascii="Bookman Old Style" w:hAnsi="Bookman Old Style" w:cs="Cambria"/>
          <w:sz w:val="24"/>
          <w:szCs w:val="24"/>
        </w:rPr>
        <w:t>…</w:t>
      </w:r>
    </w:p>
    <w:p w14:paraId="56BAE02C" w14:textId="5A36D605" w:rsidR="0095283D" w:rsidRPr="00C803D7" w:rsidRDefault="0095283D" w:rsidP="00EE3A8B">
      <w:pPr>
        <w:ind w:firstLine="708"/>
        <w:jc w:val="both"/>
        <w:rPr>
          <w:rFonts w:ascii="Bookman Old Style" w:hAnsi="Bookman Old Style" w:cs="Cambria"/>
          <w:b/>
          <w:bCs/>
          <w:sz w:val="24"/>
          <w:szCs w:val="24"/>
        </w:rPr>
      </w:pPr>
      <w:r w:rsidRPr="00C803D7">
        <w:rPr>
          <w:rFonts w:ascii="Bookman Old Style" w:hAnsi="Bookman Old Style" w:cs="Cambria"/>
          <w:b/>
          <w:bCs/>
          <w:sz w:val="24"/>
          <w:szCs w:val="24"/>
        </w:rPr>
        <w:t xml:space="preserve">“… </w:t>
      </w:r>
      <w:r w:rsidRPr="00C803D7">
        <w:rPr>
          <w:rFonts w:ascii="Bookman Old Style" w:hAnsi="Bookman Old Style" w:cs="Cambria"/>
          <w:b/>
          <w:bCs/>
          <w:sz w:val="24"/>
          <w:szCs w:val="24"/>
        </w:rPr>
        <w:t>la consumación del</w:t>
      </w:r>
      <w:r w:rsidRPr="00C803D7">
        <w:rPr>
          <w:rFonts w:ascii="Bookman Old Style" w:hAnsi="Bookman Old Style" w:cs="Cambria"/>
          <w:b/>
          <w:bCs/>
          <w:sz w:val="24"/>
          <w:szCs w:val="24"/>
        </w:rPr>
        <w:t xml:space="preserve"> </w:t>
      </w:r>
      <w:r w:rsidRPr="00C803D7">
        <w:rPr>
          <w:rFonts w:ascii="Bookman Old Style" w:hAnsi="Bookman Old Style" w:cs="Cambria"/>
          <w:b/>
          <w:bCs/>
          <w:sz w:val="24"/>
          <w:szCs w:val="24"/>
        </w:rPr>
        <w:t>contrato, a efectos de determinar el momento inicial del plazo de ejercicio de la acción</w:t>
      </w:r>
      <w:r w:rsidRPr="00C803D7">
        <w:rPr>
          <w:rFonts w:ascii="Bookman Old Style" w:hAnsi="Bookman Old Style" w:cs="Cambria"/>
          <w:b/>
          <w:bCs/>
          <w:sz w:val="24"/>
          <w:szCs w:val="24"/>
        </w:rPr>
        <w:t xml:space="preserve"> </w:t>
      </w:r>
      <w:r w:rsidRPr="00C803D7">
        <w:rPr>
          <w:rFonts w:ascii="Bookman Old Style" w:hAnsi="Bookman Old Style" w:cs="Cambria"/>
          <w:b/>
          <w:bCs/>
          <w:sz w:val="24"/>
          <w:szCs w:val="24"/>
        </w:rPr>
        <w:t>de anulación del contrato por error o dolo, no puede quedar fijada antes de que el</w:t>
      </w:r>
      <w:r w:rsidRPr="00C803D7">
        <w:rPr>
          <w:rFonts w:ascii="Bookman Old Style" w:hAnsi="Bookman Old Style" w:cs="Cambria"/>
          <w:b/>
          <w:bCs/>
          <w:sz w:val="24"/>
          <w:szCs w:val="24"/>
        </w:rPr>
        <w:t xml:space="preserve"> </w:t>
      </w:r>
      <w:r w:rsidRPr="00C803D7">
        <w:rPr>
          <w:rFonts w:ascii="Bookman Old Style" w:hAnsi="Bookman Old Style" w:cs="Cambria"/>
          <w:b/>
          <w:bCs/>
          <w:sz w:val="24"/>
          <w:szCs w:val="24"/>
        </w:rPr>
        <w:t>cliente haya podido tener conocimiento de la existencia de dicho error o dolo</w:t>
      </w:r>
      <w:r w:rsidRPr="00C803D7">
        <w:rPr>
          <w:rFonts w:ascii="Bookman Old Style" w:hAnsi="Bookman Old Style" w:cs="Cambria"/>
          <w:b/>
          <w:bCs/>
          <w:sz w:val="24"/>
          <w:szCs w:val="24"/>
        </w:rPr>
        <w:t>.”</w:t>
      </w:r>
    </w:p>
    <w:p w14:paraId="61DB0499" w14:textId="5370E02B" w:rsidR="0095283D" w:rsidRPr="00C803D7" w:rsidRDefault="0095283D" w:rsidP="00EE3A8B">
      <w:pPr>
        <w:ind w:firstLine="708"/>
        <w:jc w:val="both"/>
        <w:rPr>
          <w:rFonts w:ascii="Bookman Old Style" w:hAnsi="Bookman Old Style" w:cs="Cambria"/>
          <w:b/>
          <w:bCs/>
          <w:sz w:val="24"/>
          <w:szCs w:val="24"/>
        </w:rPr>
      </w:pPr>
      <w:r w:rsidRPr="00C803D7">
        <w:rPr>
          <w:rFonts w:ascii="Bookman Old Style" w:hAnsi="Bookman Old Style" w:cs="Cambria"/>
          <w:b/>
          <w:bCs/>
          <w:sz w:val="24"/>
          <w:szCs w:val="24"/>
        </w:rPr>
        <w:t>En el presente caso de comercialización de obligaciones subordinadas de</w:t>
      </w:r>
      <w:r w:rsidRPr="00C803D7">
        <w:rPr>
          <w:rFonts w:ascii="Bookman Old Style" w:hAnsi="Bookman Old Style" w:cs="Cambria"/>
          <w:b/>
          <w:bCs/>
          <w:sz w:val="24"/>
          <w:szCs w:val="24"/>
        </w:rPr>
        <w:t xml:space="preserve"> </w:t>
      </w:r>
      <w:r w:rsidRPr="00C803D7">
        <w:rPr>
          <w:rFonts w:ascii="Bookman Old Style" w:hAnsi="Bookman Old Style" w:cs="Cambria"/>
          <w:b/>
          <w:bCs/>
          <w:sz w:val="24"/>
          <w:szCs w:val="24"/>
        </w:rPr>
        <w:t>BANCO POPULAR ESPAÑOL, el día inicial del plazo para el ejercicio de la acción</w:t>
      </w:r>
      <w:r w:rsidRPr="00C803D7">
        <w:rPr>
          <w:rFonts w:ascii="Bookman Old Style" w:hAnsi="Bookman Old Style" w:cs="Cambria"/>
          <w:b/>
          <w:bCs/>
          <w:sz w:val="24"/>
          <w:szCs w:val="24"/>
        </w:rPr>
        <w:t xml:space="preserve"> </w:t>
      </w:r>
      <w:r w:rsidRPr="00C803D7">
        <w:rPr>
          <w:rFonts w:ascii="Bookman Old Style" w:hAnsi="Bookman Old Style" w:cs="Cambria"/>
          <w:b/>
          <w:bCs/>
          <w:sz w:val="24"/>
          <w:szCs w:val="24"/>
        </w:rPr>
        <w:t>debe situarse en fecha 6 de junio de 2017 , cuando, como es público y notorio, y</w:t>
      </w:r>
      <w:r w:rsidRPr="00C803D7">
        <w:rPr>
          <w:rFonts w:ascii="Bookman Old Style" w:hAnsi="Bookman Old Style" w:cs="Cambria"/>
          <w:b/>
          <w:bCs/>
          <w:sz w:val="24"/>
          <w:szCs w:val="24"/>
        </w:rPr>
        <w:t xml:space="preserve"> </w:t>
      </w:r>
      <w:r w:rsidRPr="00C803D7">
        <w:rPr>
          <w:rFonts w:ascii="Bookman Old Style" w:hAnsi="Bookman Old Style" w:cs="Cambria"/>
          <w:b/>
          <w:bCs/>
          <w:sz w:val="24"/>
          <w:szCs w:val="24"/>
        </w:rPr>
        <w:t>transcribiendo la propia secuencia de los hechos según el escrito de demanda, “el</w:t>
      </w:r>
      <w:r w:rsidRPr="00C803D7">
        <w:rPr>
          <w:rFonts w:ascii="Bookman Old Style" w:hAnsi="Bookman Old Style" w:cs="Cambria"/>
          <w:b/>
          <w:bCs/>
          <w:sz w:val="24"/>
          <w:szCs w:val="24"/>
        </w:rPr>
        <w:t xml:space="preserve"> </w:t>
      </w:r>
      <w:r w:rsidRPr="00C803D7">
        <w:rPr>
          <w:rFonts w:ascii="Bookman Old Style" w:hAnsi="Bookman Old Style" w:cs="Cambria"/>
          <w:b/>
          <w:bCs/>
          <w:sz w:val="24"/>
          <w:szCs w:val="24"/>
        </w:rPr>
        <w:t>Banco Central Europeo comunicó a la Junta Única de Resolución (JUR) la</w:t>
      </w:r>
      <w:r w:rsidRPr="00C803D7">
        <w:rPr>
          <w:rFonts w:ascii="Bookman Old Style" w:hAnsi="Bookman Old Style" w:cs="Cambria"/>
          <w:b/>
          <w:bCs/>
          <w:sz w:val="24"/>
          <w:szCs w:val="24"/>
        </w:rPr>
        <w:t xml:space="preserve"> </w:t>
      </w:r>
      <w:r w:rsidRPr="00C803D7">
        <w:rPr>
          <w:rFonts w:ascii="Bookman Old Style" w:hAnsi="Bookman Old Style" w:cs="Cambria"/>
          <w:b/>
          <w:bCs/>
          <w:sz w:val="24"/>
          <w:szCs w:val="24"/>
        </w:rPr>
        <w:lastRenderedPageBreak/>
        <w:t>inviabilidad de Banco Popular por considerar que no tenía ni era capaz de obtener</w:t>
      </w:r>
      <w:r w:rsidRPr="00C803D7">
        <w:rPr>
          <w:rFonts w:ascii="Bookman Old Style" w:hAnsi="Bookman Old Style" w:cs="Cambria"/>
          <w:b/>
          <w:bCs/>
          <w:sz w:val="24"/>
          <w:szCs w:val="24"/>
        </w:rPr>
        <w:t xml:space="preserve"> </w:t>
      </w:r>
      <w:r w:rsidRPr="00C803D7">
        <w:rPr>
          <w:rFonts w:ascii="Bookman Old Style" w:hAnsi="Bookman Old Style" w:cs="Cambria"/>
          <w:b/>
          <w:bCs/>
          <w:sz w:val="24"/>
          <w:szCs w:val="24"/>
        </w:rPr>
        <w:t>la liquidez necesaria para atender el pago de sus obligaciones exigibles, por lo que</w:t>
      </w:r>
      <w:r w:rsidRPr="00C803D7">
        <w:rPr>
          <w:rFonts w:ascii="Bookman Old Style" w:hAnsi="Bookman Old Style" w:cs="Cambria"/>
          <w:b/>
          <w:bCs/>
          <w:sz w:val="24"/>
          <w:szCs w:val="24"/>
        </w:rPr>
        <w:t xml:space="preserve"> </w:t>
      </w:r>
      <w:r w:rsidRPr="00C803D7">
        <w:rPr>
          <w:rFonts w:ascii="Bookman Old Style" w:hAnsi="Bookman Old Style" w:cs="Cambria"/>
          <w:b/>
          <w:bCs/>
          <w:sz w:val="24"/>
          <w:szCs w:val="24"/>
        </w:rPr>
        <w:t>no podía continuar con su operativa diaria . De este modo la JUR determinó que ni</w:t>
      </w:r>
      <w:r w:rsidRPr="00C803D7">
        <w:rPr>
          <w:rFonts w:ascii="Bookman Old Style" w:hAnsi="Bookman Old Style" w:cs="Cambria"/>
          <w:b/>
          <w:bCs/>
          <w:sz w:val="24"/>
          <w:szCs w:val="24"/>
        </w:rPr>
        <w:t xml:space="preserve"> </w:t>
      </w:r>
      <w:r w:rsidRPr="00C803D7">
        <w:rPr>
          <w:rFonts w:ascii="Bookman Old Style" w:hAnsi="Bookman Old Style" w:cs="Cambria"/>
          <w:b/>
          <w:bCs/>
          <w:sz w:val="24"/>
          <w:szCs w:val="24"/>
        </w:rPr>
        <w:t>el proceso de venta de la entidad ni la posibilidad de una ampliación de capital</w:t>
      </w:r>
      <w:r w:rsidRPr="00C803D7">
        <w:rPr>
          <w:rFonts w:ascii="Bookman Old Style" w:hAnsi="Bookman Old Style" w:cs="Cambria"/>
          <w:b/>
          <w:bCs/>
          <w:sz w:val="24"/>
          <w:szCs w:val="24"/>
        </w:rPr>
        <w:t xml:space="preserve"> </w:t>
      </w:r>
      <w:r w:rsidRPr="00C803D7">
        <w:rPr>
          <w:rFonts w:ascii="Bookman Old Style" w:hAnsi="Bookman Old Style" w:cs="Cambria"/>
          <w:b/>
          <w:bCs/>
          <w:sz w:val="24"/>
          <w:szCs w:val="24"/>
        </w:rPr>
        <w:t>podrían suponer una solución inminente, que era lo que se precisaba, pues el</w:t>
      </w:r>
      <w:r w:rsidRPr="00C803D7">
        <w:rPr>
          <w:rFonts w:ascii="Bookman Old Style" w:hAnsi="Bookman Old Style" w:cs="Cambria"/>
          <w:b/>
          <w:bCs/>
          <w:sz w:val="24"/>
          <w:szCs w:val="24"/>
        </w:rPr>
        <w:t xml:space="preserve"> </w:t>
      </w:r>
      <w:r w:rsidRPr="00C803D7">
        <w:rPr>
          <w:rFonts w:ascii="Bookman Old Style" w:hAnsi="Bookman Old Style" w:cs="Cambria"/>
          <w:b/>
          <w:bCs/>
          <w:sz w:val="24"/>
          <w:szCs w:val="24"/>
        </w:rPr>
        <w:t>Banco había agotado su liquidez (ordinaria y extraordinaria) y no podía hacer</w:t>
      </w:r>
      <w:r w:rsidRPr="00C803D7">
        <w:rPr>
          <w:rFonts w:ascii="Bookman Old Style" w:hAnsi="Bookman Old Style" w:cs="Cambria"/>
          <w:b/>
          <w:bCs/>
          <w:sz w:val="24"/>
          <w:szCs w:val="24"/>
        </w:rPr>
        <w:t xml:space="preserve"> </w:t>
      </w:r>
      <w:r w:rsidRPr="00C803D7">
        <w:rPr>
          <w:rFonts w:ascii="Bookman Old Style" w:hAnsi="Bookman Old Style" w:cs="Cambria"/>
          <w:b/>
          <w:bCs/>
          <w:sz w:val="24"/>
          <w:szCs w:val="24"/>
        </w:rPr>
        <w:t>frente a sus obligaciones de pago con depositantes y acreedores.</w:t>
      </w:r>
      <w:r w:rsidRPr="00C803D7">
        <w:rPr>
          <w:rFonts w:ascii="Bookman Old Style" w:hAnsi="Bookman Old Style" w:cs="Cambria"/>
          <w:b/>
          <w:bCs/>
          <w:sz w:val="24"/>
          <w:szCs w:val="24"/>
        </w:rPr>
        <w:t>”</w:t>
      </w:r>
    </w:p>
    <w:p w14:paraId="454741DD" w14:textId="73542237" w:rsidR="0095283D" w:rsidRPr="00C803D7" w:rsidRDefault="0095283D" w:rsidP="00EE3A8B">
      <w:pPr>
        <w:ind w:firstLine="708"/>
        <w:jc w:val="both"/>
        <w:rPr>
          <w:rFonts w:ascii="Bookman Old Style" w:hAnsi="Bookman Old Style" w:cs="Cambria"/>
          <w:sz w:val="24"/>
          <w:szCs w:val="24"/>
        </w:rPr>
      </w:pPr>
      <w:r w:rsidRPr="00C803D7">
        <w:rPr>
          <w:rFonts w:ascii="Bookman Old Style" w:hAnsi="Bookman Old Style" w:cs="Cambria"/>
          <w:sz w:val="24"/>
          <w:szCs w:val="24"/>
        </w:rPr>
        <w:t>…</w:t>
      </w:r>
    </w:p>
    <w:p w14:paraId="3DCFB3FA" w14:textId="189329D6" w:rsidR="0095283D" w:rsidRPr="00C803D7" w:rsidRDefault="0095283D" w:rsidP="00EE3A8B">
      <w:pPr>
        <w:ind w:firstLine="708"/>
        <w:jc w:val="both"/>
        <w:rPr>
          <w:rFonts w:ascii="Bookman Old Style" w:hAnsi="Bookman Old Style" w:cs="Cambria"/>
          <w:b/>
          <w:bCs/>
          <w:sz w:val="24"/>
          <w:szCs w:val="24"/>
        </w:rPr>
      </w:pPr>
      <w:r w:rsidRPr="00C803D7">
        <w:rPr>
          <w:rFonts w:ascii="Bookman Old Style" w:hAnsi="Bookman Old Style" w:cs="Cambria"/>
          <w:b/>
          <w:bCs/>
          <w:sz w:val="24"/>
          <w:szCs w:val="24"/>
        </w:rPr>
        <w:t>“</w:t>
      </w:r>
      <w:r w:rsidRPr="00C803D7">
        <w:rPr>
          <w:rFonts w:ascii="Bookman Old Style" w:hAnsi="Bookman Old Style" w:cs="Cambria"/>
          <w:b/>
          <w:bCs/>
          <w:sz w:val="24"/>
          <w:szCs w:val="24"/>
        </w:rPr>
        <w:t xml:space="preserve">Y no ha de entenderse que el </w:t>
      </w:r>
      <w:proofErr w:type="spellStart"/>
      <w:r w:rsidRPr="00C803D7">
        <w:rPr>
          <w:rFonts w:ascii="Bookman Old Style" w:hAnsi="Bookman Old Style" w:cs="Cambria"/>
          <w:b/>
          <w:bCs/>
          <w:sz w:val="24"/>
          <w:szCs w:val="24"/>
        </w:rPr>
        <w:t>dies</w:t>
      </w:r>
      <w:proofErr w:type="spellEnd"/>
      <w:r w:rsidRPr="00C803D7">
        <w:rPr>
          <w:rFonts w:ascii="Bookman Old Style" w:hAnsi="Bookman Old Style" w:cs="Cambria"/>
          <w:b/>
          <w:bCs/>
          <w:sz w:val="24"/>
          <w:szCs w:val="24"/>
        </w:rPr>
        <w:t xml:space="preserve"> a quo fuese en un momento anterior por</w:t>
      </w:r>
      <w:r w:rsidRPr="00C803D7">
        <w:rPr>
          <w:rFonts w:ascii="Bookman Old Style" w:hAnsi="Bookman Old Style" w:cs="Cambria"/>
          <w:b/>
          <w:bCs/>
          <w:sz w:val="24"/>
          <w:szCs w:val="24"/>
        </w:rPr>
        <w:t xml:space="preserve"> </w:t>
      </w:r>
      <w:r w:rsidRPr="00C803D7">
        <w:rPr>
          <w:rFonts w:ascii="Bookman Old Style" w:hAnsi="Bookman Old Style" w:cs="Cambria"/>
          <w:b/>
          <w:bCs/>
          <w:sz w:val="24"/>
          <w:szCs w:val="24"/>
        </w:rPr>
        <w:t xml:space="preserve">cuanto </w:t>
      </w:r>
      <w:proofErr w:type="gramStart"/>
      <w:r w:rsidRPr="00C803D7">
        <w:rPr>
          <w:rFonts w:ascii="Bookman Old Style" w:hAnsi="Bookman Old Style" w:cs="Cambria"/>
          <w:b/>
          <w:bCs/>
          <w:sz w:val="24"/>
          <w:szCs w:val="24"/>
        </w:rPr>
        <w:t>las propia cotización</w:t>
      </w:r>
      <w:proofErr w:type="gramEnd"/>
      <w:r w:rsidRPr="00C803D7">
        <w:rPr>
          <w:rFonts w:ascii="Bookman Old Style" w:hAnsi="Bookman Old Style" w:cs="Cambria"/>
          <w:b/>
          <w:bCs/>
          <w:sz w:val="24"/>
          <w:szCs w:val="24"/>
        </w:rPr>
        <w:t xml:space="preserve"> del producto en el mercado secundario no arrojaba</w:t>
      </w:r>
      <w:r w:rsidRPr="00C803D7">
        <w:rPr>
          <w:rFonts w:ascii="Bookman Old Style" w:hAnsi="Bookman Old Style" w:cs="Cambria"/>
          <w:b/>
          <w:bCs/>
          <w:sz w:val="24"/>
          <w:szCs w:val="24"/>
        </w:rPr>
        <w:t xml:space="preserve"> </w:t>
      </w:r>
      <w:r w:rsidRPr="00C803D7">
        <w:rPr>
          <w:rFonts w:ascii="Bookman Old Style" w:hAnsi="Bookman Old Style" w:cs="Cambria"/>
          <w:b/>
          <w:bCs/>
          <w:sz w:val="24"/>
          <w:szCs w:val="24"/>
        </w:rPr>
        <w:t>una cotización negativa, lo que no permitía colegir que se tratase de un producto</w:t>
      </w:r>
      <w:r w:rsidRPr="00C803D7">
        <w:rPr>
          <w:rFonts w:ascii="Bookman Old Style" w:hAnsi="Bookman Old Style" w:cs="Cambria"/>
          <w:b/>
          <w:bCs/>
          <w:sz w:val="24"/>
          <w:szCs w:val="24"/>
        </w:rPr>
        <w:t xml:space="preserve"> </w:t>
      </w:r>
      <w:r w:rsidRPr="00C803D7">
        <w:rPr>
          <w:rFonts w:ascii="Bookman Old Style" w:hAnsi="Bookman Old Style" w:cs="Cambria"/>
          <w:b/>
          <w:bCs/>
          <w:sz w:val="24"/>
          <w:szCs w:val="24"/>
        </w:rPr>
        <w:t>volátil y arriesgado. Así la propia demandada reconoce en su contestación que “la</w:t>
      </w:r>
      <w:r w:rsidRPr="00C803D7">
        <w:rPr>
          <w:rFonts w:ascii="Bookman Old Style" w:hAnsi="Bookman Old Style" w:cs="Cambria"/>
          <w:b/>
          <w:bCs/>
          <w:sz w:val="24"/>
          <w:szCs w:val="24"/>
        </w:rPr>
        <w:t xml:space="preserve"> </w:t>
      </w:r>
      <w:r w:rsidRPr="00C803D7">
        <w:rPr>
          <w:rFonts w:ascii="Bookman Old Style" w:hAnsi="Bookman Old Style" w:cs="Cambria"/>
          <w:b/>
          <w:bCs/>
          <w:sz w:val="24"/>
          <w:szCs w:val="24"/>
        </w:rPr>
        <w:t>cotización de las obligaciones subordinadas estuvo a lo largo de los años en</w:t>
      </w:r>
      <w:r w:rsidRPr="00C803D7">
        <w:rPr>
          <w:rFonts w:ascii="Bookman Old Style" w:hAnsi="Bookman Old Style" w:cs="Cambria"/>
          <w:b/>
          <w:bCs/>
          <w:sz w:val="24"/>
          <w:szCs w:val="24"/>
        </w:rPr>
        <w:t xml:space="preserve"> </w:t>
      </w:r>
      <w:r w:rsidRPr="00C803D7">
        <w:rPr>
          <w:rFonts w:ascii="Bookman Old Style" w:hAnsi="Bookman Old Style" w:cs="Cambria"/>
          <w:b/>
          <w:bCs/>
          <w:sz w:val="24"/>
          <w:szCs w:val="24"/>
        </w:rPr>
        <w:t>muchas ocasiones por encima de su valor nominal. De hecho, todavía el 4 de abril</w:t>
      </w:r>
      <w:r w:rsidRPr="00C803D7">
        <w:rPr>
          <w:rFonts w:ascii="Bookman Old Style" w:hAnsi="Bookman Old Style" w:cs="Cambria"/>
          <w:b/>
          <w:bCs/>
          <w:sz w:val="24"/>
          <w:szCs w:val="24"/>
        </w:rPr>
        <w:t xml:space="preserve"> </w:t>
      </w:r>
      <w:r w:rsidRPr="00C803D7">
        <w:rPr>
          <w:rFonts w:ascii="Bookman Old Style" w:hAnsi="Bookman Old Style" w:cs="Cambria"/>
          <w:b/>
          <w:bCs/>
          <w:sz w:val="24"/>
          <w:szCs w:val="24"/>
        </w:rPr>
        <w:t xml:space="preserve">de 2017 la cotización era superior al 100% del valor </w:t>
      </w:r>
      <w:proofErr w:type="gramStart"/>
      <w:r w:rsidRPr="00C803D7">
        <w:rPr>
          <w:rFonts w:ascii="Bookman Old Style" w:hAnsi="Bookman Old Style" w:cs="Cambria"/>
          <w:b/>
          <w:bCs/>
          <w:sz w:val="24"/>
          <w:szCs w:val="24"/>
        </w:rPr>
        <w:t>nominal .</w:t>
      </w:r>
      <w:proofErr w:type="gramEnd"/>
      <w:r w:rsidRPr="00C803D7">
        <w:rPr>
          <w:rFonts w:ascii="Bookman Old Style" w:hAnsi="Bookman Old Style" w:cs="Cambria"/>
          <w:b/>
          <w:bCs/>
          <w:sz w:val="24"/>
          <w:szCs w:val="24"/>
        </w:rPr>
        <w:t xml:space="preserve"> Si los actores</w:t>
      </w:r>
      <w:r w:rsidRPr="00C803D7">
        <w:rPr>
          <w:rFonts w:ascii="Bookman Old Style" w:hAnsi="Bookman Old Style" w:cs="Cambria"/>
          <w:b/>
          <w:bCs/>
          <w:sz w:val="24"/>
          <w:szCs w:val="24"/>
        </w:rPr>
        <w:t xml:space="preserve"> </w:t>
      </w:r>
      <w:r w:rsidRPr="00C803D7">
        <w:rPr>
          <w:rFonts w:ascii="Bookman Old Style" w:hAnsi="Bookman Old Style" w:cs="Cambria"/>
          <w:b/>
          <w:bCs/>
          <w:sz w:val="24"/>
          <w:szCs w:val="24"/>
        </w:rPr>
        <w:t>hubiesen vendido sus títulos apenas dos meses antes de la resolución de la entidad,</w:t>
      </w:r>
      <w:r w:rsidRPr="00C803D7">
        <w:rPr>
          <w:rFonts w:ascii="Bookman Old Style" w:hAnsi="Bookman Old Style" w:cs="Cambria"/>
          <w:b/>
          <w:bCs/>
          <w:sz w:val="24"/>
          <w:szCs w:val="24"/>
        </w:rPr>
        <w:t xml:space="preserve"> </w:t>
      </w:r>
      <w:r w:rsidRPr="00C803D7">
        <w:rPr>
          <w:rFonts w:ascii="Bookman Old Style" w:hAnsi="Bookman Old Style" w:cs="Cambria"/>
          <w:b/>
          <w:bCs/>
          <w:sz w:val="24"/>
          <w:szCs w:val="24"/>
        </w:rPr>
        <w:t>habrían percibido el 100% de la inversión y obtenido una ganancia, sin contar con</w:t>
      </w:r>
      <w:r w:rsidRPr="00C803D7">
        <w:rPr>
          <w:rFonts w:ascii="Bookman Old Style" w:hAnsi="Bookman Old Style" w:cs="Cambria"/>
          <w:b/>
          <w:bCs/>
          <w:sz w:val="24"/>
          <w:szCs w:val="24"/>
        </w:rPr>
        <w:t xml:space="preserve"> </w:t>
      </w:r>
      <w:r w:rsidRPr="00C803D7">
        <w:rPr>
          <w:rFonts w:ascii="Bookman Old Style" w:hAnsi="Bookman Old Style" w:cs="Cambria"/>
          <w:b/>
          <w:bCs/>
          <w:sz w:val="24"/>
          <w:szCs w:val="24"/>
        </w:rPr>
        <w:t>los rendimientos trimestrales que ya habían obtenido.</w:t>
      </w:r>
      <w:r w:rsidRPr="00C803D7">
        <w:rPr>
          <w:rFonts w:ascii="Bookman Old Style" w:hAnsi="Bookman Old Style" w:cs="Cambria"/>
          <w:b/>
          <w:bCs/>
          <w:sz w:val="24"/>
          <w:szCs w:val="24"/>
        </w:rPr>
        <w:t xml:space="preserve">” </w:t>
      </w:r>
    </w:p>
    <w:p w14:paraId="0822636D" w14:textId="084B73FA" w:rsidR="00DA7200" w:rsidRPr="00C803D7" w:rsidRDefault="00DA7200" w:rsidP="00EE3A8B">
      <w:pPr>
        <w:autoSpaceDE w:val="0"/>
        <w:autoSpaceDN w:val="0"/>
        <w:adjustRightInd w:val="0"/>
        <w:spacing w:after="0" w:line="240" w:lineRule="auto"/>
        <w:jc w:val="both"/>
        <w:rPr>
          <w:rFonts w:ascii="Bookman Old Style" w:hAnsi="Bookman Old Style" w:cs="Cambria"/>
          <w:sz w:val="24"/>
          <w:szCs w:val="24"/>
        </w:rPr>
      </w:pPr>
      <w:r w:rsidRPr="00C803D7">
        <w:rPr>
          <w:rFonts w:ascii="Bookman Old Style" w:hAnsi="Bookman Old Style" w:cs="Cambria"/>
          <w:sz w:val="24"/>
          <w:szCs w:val="24"/>
        </w:rPr>
        <w:tab/>
        <w:t xml:space="preserve">El Juzgado estima acreditado que los inversores carecían de conocimientos en materia financiera, siendo él taxista de profesión y ella auxiliar administrativo y sin que constase que hubiesen invertido nunca en productos de este tipo. </w:t>
      </w:r>
    </w:p>
    <w:p w14:paraId="51AD04C7" w14:textId="77777777" w:rsidR="00DA7200" w:rsidRPr="00C803D7" w:rsidRDefault="00DA7200" w:rsidP="00EE3A8B">
      <w:pPr>
        <w:autoSpaceDE w:val="0"/>
        <w:autoSpaceDN w:val="0"/>
        <w:adjustRightInd w:val="0"/>
        <w:spacing w:after="0" w:line="240" w:lineRule="auto"/>
        <w:jc w:val="both"/>
        <w:rPr>
          <w:rFonts w:ascii="Bookman Old Style" w:hAnsi="Bookman Old Style" w:cs="Cambria"/>
          <w:sz w:val="24"/>
          <w:szCs w:val="24"/>
        </w:rPr>
      </w:pPr>
    </w:p>
    <w:p w14:paraId="3924D1E2" w14:textId="693EF8D3" w:rsidR="0095283D" w:rsidRPr="00C803D7" w:rsidRDefault="00DA7200" w:rsidP="00EE3A8B">
      <w:pPr>
        <w:autoSpaceDE w:val="0"/>
        <w:autoSpaceDN w:val="0"/>
        <w:adjustRightInd w:val="0"/>
        <w:spacing w:after="0" w:line="240" w:lineRule="auto"/>
        <w:jc w:val="both"/>
        <w:rPr>
          <w:rFonts w:ascii="Bookman Old Style" w:hAnsi="Bookman Old Style" w:cs="Cambria"/>
          <w:sz w:val="24"/>
          <w:szCs w:val="24"/>
        </w:rPr>
      </w:pPr>
      <w:r w:rsidRPr="00C803D7">
        <w:rPr>
          <w:rFonts w:ascii="Bookman Old Style" w:hAnsi="Bookman Old Style" w:cs="Cambria"/>
          <w:sz w:val="24"/>
          <w:szCs w:val="24"/>
        </w:rPr>
        <w:tab/>
        <w:t xml:space="preserve">Tampoco en este supuesto se aportó por el banco ni el test de conveniencia ni el de idoneidad, de forma que el banco no acreditó que grado de comprensión tenía del producto una vez leído el folleto informativo que sostuvo el banco que se les suministró. </w:t>
      </w:r>
    </w:p>
    <w:p w14:paraId="2FDC9F54" w14:textId="30AF8AA1" w:rsidR="00DA7200" w:rsidRPr="00C803D7" w:rsidRDefault="00DA7200" w:rsidP="00EE3A8B">
      <w:pPr>
        <w:autoSpaceDE w:val="0"/>
        <w:autoSpaceDN w:val="0"/>
        <w:adjustRightInd w:val="0"/>
        <w:spacing w:after="0" w:line="240" w:lineRule="auto"/>
        <w:jc w:val="both"/>
        <w:rPr>
          <w:rFonts w:ascii="Bookman Old Style" w:hAnsi="Bookman Old Style" w:cs="Cambria"/>
          <w:sz w:val="24"/>
          <w:szCs w:val="24"/>
        </w:rPr>
      </w:pPr>
      <w:r w:rsidRPr="00C803D7">
        <w:rPr>
          <w:rFonts w:ascii="Bookman Old Style" w:hAnsi="Bookman Old Style" w:cs="Cambria"/>
          <w:sz w:val="24"/>
          <w:szCs w:val="24"/>
        </w:rPr>
        <w:tab/>
      </w:r>
    </w:p>
    <w:p w14:paraId="6748FC03" w14:textId="77777777" w:rsidR="00EE3A8B" w:rsidRPr="00C803D7" w:rsidRDefault="00DA7200" w:rsidP="00EE3A8B">
      <w:pPr>
        <w:autoSpaceDE w:val="0"/>
        <w:autoSpaceDN w:val="0"/>
        <w:adjustRightInd w:val="0"/>
        <w:spacing w:after="0" w:line="240" w:lineRule="auto"/>
        <w:jc w:val="both"/>
        <w:rPr>
          <w:rFonts w:ascii="Bookman Old Style" w:hAnsi="Bookman Old Style" w:cs="Cambria"/>
          <w:sz w:val="24"/>
          <w:szCs w:val="24"/>
        </w:rPr>
      </w:pPr>
      <w:r w:rsidRPr="00C803D7">
        <w:rPr>
          <w:rFonts w:ascii="Bookman Old Style" w:hAnsi="Bookman Old Style" w:cs="Cambria"/>
          <w:sz w:val="24"/>
          <w:szCs w:val="24"/>
        </w:rPr>
        <w:tab/>
        <w:t xml:space="preserve">Por otra parte, el director de la sucursal de BANCO POPULAR ESPAÑOL, en el acto de juicio, no recordaba cómo se realizó la comercialización, dando sólo </w:t>
      </w:r>
      <w:r w:rsidR="00EE3A8B" w:rsidRPr="00C803D7">
        <w:rPr>
          <w:rFonts w:ascii="Bookman Old Style" w:hAnsi="Bookman Old Style" w:cs="Cambria"/>
          <w:sz w:val="24"/>
          <w:szCs w:val="24"/>
        </w:rPr>
        <w:t xml:space="preserve">cuenta genérica de cómo se efectuaba. </w:t>
      </w:r>
    </w:p>
    <w:p w14:paraId="0A201248" w14:textId="77777777" w:rsidR="00EE3A8B" w:rsidRPr="00C803D7" w:rsidRDefault="00EE3A8B" w:rsidP="00EE3A8B">
      <w:pPr>
        <w:autoSpaceDE w:val="0"/>
        <w:autoSpaceDN w:val="0"/>
        <w:adjustRightInd w:val="0"/>
        <w:spacing w:after="0" w:line="240" w:lineRule="auto"/>
        <w:jc w:val="both"/>
        <w:rPr>
          <w:rFonts w:ascii="Bookman Old Style" w:hAnsi="Bookman Old Style" w:cs="Cambria"/>
          <w:sz w:val="24"/>
          <w:szCs w:val="24"/>
        </w:rPr>
      </w:pPr>
    </w:p>
    <w:p w14:paraId="6EC39FF8" w14:textId="77777777" w:rsidR="00EE3A8B" w:rsidRPr="00C803D7" w:rsidRDefault="00EE3A8B" w:rsidP="00EE3A8B">
      <w:pPr>
        <w:autoSpaceDE w:val="0"/>
        <w:autoSpaceDN w:val="0"/>
        <w:adjustRightInd w:val="0"/>
        <w:spacing w:after="0" w:line="240" w:lineRule="auto"/>
        <w:ind w:firstLine="708"/>
        <w:jc w:val="both"/>
        <w:rPr>
          <w:rFonts w:ascii="Bookman Old Style" w:hAnsi="Bookman Old Style" w:cs="Cambria"/>
          <w:sz w:val="24"/>
          <w:szCs w:val="24"/>
        </w:rPr>
      </w:pPr>
      <w:r w:rsidRPr="00C803D7">
        <w:rPr>
          <w:rFonts w:ascii="Bookman Old Style" w:hAnsi="Bookman Old Style" w:cs="Cambria"/>
          <w:sz w:val="24"/>
          <w:szCs w:val="24"/>
        </w:rPr>
        <w:t xml:space="preserve">La sentencia concluye que no existió dato alguno que permitiera concluir que medió algún tipo de recomendación a los efectos de determinar la necesidad de someter a estos clientes a un test de idoneidad, y que no cabe duda de que no tenían en modo alguno el carácter de cliente profesional, </w:t>
      </w:r>
      <w:r w:rsidR="0095283D" w:rsidRPr="00C803D7">
        <w:rPr>
          <w:rFonts w:ascii="Bookman Old Style" w:hAnsi="Bookman Old Style" w:cs="Cambria"/>
          <w:sz w:val="24"/>
          <w:szCs w:val="24"/>
        </w:rPr>
        <w:t>sino de minorista de perfil conservador que buscaban</w:t>
      </w:r>
      <w:r w:rsidRPr="00C803D7">
        <w:rPr>
          <w:rFonts w:ascii="Bookman Old Style" w:hAnsi="Bookman Old Style" w:cs="Cambria"/>
          <w:sz w:val="24"/>
          <w:szCs w:val="24"/>
        </w:rPr>
        <w:t xml:space="preserve"> </w:t>
      </w:r>
      <w:r w:rsidR="0095283D" w:rsidRPr="00C803D7">
        <w:rPr>
          <w:rFonts w:ascii="Bookman Old Style" w:hAnsi="Bookman Old Style" w:cs="Cambria"/>
          <w:sz w:val="24"/>
          <w:szCs w:val="24"/>
        </w:rPr>
        <w:t xml:space="preserve">inversiones </w:t>
      </w:r>
      <w:proofErr w:type="gramStart"/>
      <w:r w:rsidR="0095283D" w:rsidRPr="00C803D7">
        <w:rPr>
          <w:rFonts w:ascii="Bookman Old Style" w:hAnsi="Bookman Old Style" w:cs="Cambria"/>
          <w:sz w:val="24"/>
          <w:szCs w:val="24"/>
        </w:rPr>
        <w:t>seguras ,</w:t>
      </w:r>
      <w:proofErr w:type="gramEnd"/>
      <w:r w:rsidR="0095283D" w:rsidRPr="00C803D7">
        <w:rPr>
          <w:rFonts w:ascii="Bookman Old Style" w:hAnsi="Bookman Old Style" w:cs="Cambria"/>
          <w:sz w:val="24"/>
          <w:szCs w:val="24"/>
        </w:rPr>
        <w:t xml:space="preserve"> inadecuado y desaconsejable según su tipología y que requería</w:t>
      </w:r>
      <w:r w:rsidRPr="00C803D7">
        <w:rPr>
          <w:rFonts w:ascii="Bookman Old Style" w:hAnsi="Bookman Old Style" w:cs="Cambria"/>
          <w:sz w:val="24"/>
          <w:szCs w:val="24"/>
        </w:rPr>
        <w:t xml:space="preserve"> </w:t>
      </w:r>
      <w:r w:rsidR="0095283D" w:rsidRPr="00C803D7">
        <w:rPr>
          <w:rFonts w:ascii="Bookman Old Style" w:hAnsi="Bookman Old Style" w:cs="Cambria"/>
          <w:sz w:val="24"/>
          <w:szCs w:val="24"/>
        </w:rPr>
        <w:t>dada su complejidad amplios conocimientos en inversiones financieras.</w:t>
      </w:r>
      <w:r w:rsidR="00DA7200" w:rsidRPr="00C803D7">
        <w:rPr>
          <w:rFonts w:ascii="Bookman Old Style" w:hAnsi="Bookman Old Style" w:cs="Cambria"/>
          <w:sz w:val="24"/>
          <w:szCs w:val="24"/>
        </w:rPr>
        <w:t xml:space="preserve"> </w:t>
      </w:r>
    </w:p>
    <w:p w14:paraId="70243569" w14:textId="77777777" w:rsidR="00EE3A8B" w:rsidRPr="00C803D7" w:rsidRDefault="00EE3A8B" w:rsidP="00EE3A8B">
      <w:pPr>
        <w:autoSpaceDE w:val="0"/>
        <w:autoSpaceDN w:val="0"/>
        <w:adjustRightInd w:val="0"/>
        <w:spacing w:after="0" w:line="240" w:lineRule="auto"/>
        <w:ind w:firstLine="708"/>
        <w:jc w:val="both"/>
        <w:rPr>
          <w:rFonts w:ascii="Bookman Old Style" w:hAnsi="Bookman Old Style" w:cs="Cambria"/>
          <w:sz w:val="24"/>
          <w:szCs w:val="24"/>
        </w:rPr>
      </w:pPr>
    </w:p>
    <w:p w14:paraId="3EE440D7" w14:textId="5E769121" w:rsidR="00DA7200" w:rsidRPr="00C803D7" w:rsidRDefault="00EE3A8B" w:rsidP="00EE3A8B">
      <w:pPr>
        <w:autoSpaceDE w:val="0"/>
        <w:autoSpaceDN w:val="0"/>
        <w:adjustRightInd w:val="0"/>
        <w:spacing w:after="0" w:line="240" w:lineRule="auto"/>
        <w:ind w:firstLine="708"/>
        <w:jc w:val="both"/>
        <w:rPr>
          <w:rFonts w:ascii="Bookman Old Style" w:hAnsi="Bookman Old Style" w:cs="Cambria"/>
          <w:sz w:val="24"/>
          <w:szCs w:val="24"/>
        </w:rPr>
      </w:pPr>
      <w:r w:rsidRPr="00C803D7">
        <w:rPr>
          <w:rFonts w:ascii="Bookman Old Style" w:hAnsi="Bookman Old Style" w:cs="Cambria"/>
          <w:sz w:val="24"/>
          <w:szCs w:val="24"/>
        </w:rPr>
        <w:t xml:space="preserve">Y en </w:t>
      </w:r>
      <w:r w:rsidR="00DA7200" w:rsidRPr="00C803D7">
        <w:rPr>
          <w:rFonts w:ascii="Bookman Old Style" w:hAnsi="Bookman Old Style" w:cs="Cambria"/>
          <w:sz w:val="24"/>
          <w:szCs w:val="24"/>
        </w:rPr>
        <w:t>cuanto a la entrega de los documentos</w:t>
      </w:r>
      <w:r w:rsidRPr="00C803D7">
        <w:rPr>
          <w:rFonts w:ascii="Bookman Old Style" w:hAnsi="Bookman Old Style" w:cs="Cambria"/>
          <w:sz w:val="24"/>
          <w:szCs w:val="24"/>
        </w:rPr>
        <w:t xml:space="preserve">, </w:t>
      </w:r>
      <w:r w:rsidR="00DA7200" w:rsidRPr="00C803D7">
        <w:rPr>
          <w:rFonts w:ascii="Bookman Old Style" w:hAnsi="Bookman Old Style" w:cs="Cambria"/>
          <w:sz w:val="24"/>
          <w:szCs w:val="24"/>
        </w:rPr>
        <w:t>consistente en el</w:t>
      </w:r>
    </w:p>
    <w:p w14:paraId="7F002F9C" w14:textId="77777777" w:rsidR="00EE3A8B" w:rsidRPr="00C803D7" w:rsidRDefault="00DA7200" w:rsidP="00EE3A8B">
      <w:pPr>
        <w:autoSpaceDE w:val="0"/>
        <w:autoSpaceDN w:val="0"/>
        <w:adjustRightInd w:val="0"/>
        <w:spacing w:after="0" w:line="240" w:lineRule="auto"/>
        <w:jc w:val="both"/>
        <w:rPr>
          <w:rFonts w:ascii="Bookman Old Style" w:hAnsi="Bookman Old Style" w:cs="Cambria"/>
          <w:sz w:val="24"/>
          <w:szCs w:val="24"/>
        </w:rPr>
      </w:pPr>
      <w:r w:rsidRPr="00C803D7">
        <w:rPr>
          <w:rFonts w:ascii="Bookman Old Style" w:hAnsi="Bookman Old Style" w:cs="Cambria"/>
          <w:sz w:val="24"/>
          <w:szCs w:val="24"/>
        </w:rPr>
        <w:lastRenderedPageBreak/>
        <w:t>folleto informativo o tríptico en que se indican los riesgos que entraña el producto,</w:t>
      </w:r>
      <w:r w:rsidR="00EE3A8B" w:rsidRPr="00C803D7">
        <w:rPr>
          <w:rFonts w:ascii="Bookman Old Style" w:hAnsi="Bookman Old Style" w:cs="Cambria"/>
          <w:sz w:val="24"/>
          <w:szCs w:val="24"/>
        </w:rPr>
        <w:t xml:space="preserve"> el Juzgado señala que “… </w:t>
      </w:r>
      <w:r w:rsidRPr="00C803D7">
        <w:rPr>
          <w:rFonts w:ascii="Bookman Old Style" w:hAnsi="Bookman Old Style" w:cs="Cambria"/>
          <w:sz w:val="24"/>
          <w:szCs w:val="24"/>
        </w:rPr>
        <w:t>no basta con que conste la entrega efectiva al cliente si no se acredita que dicha</w:t>
      </w:r>
      <w:r w:rsidR="00EE3A8B" w:rsidRPr="00C803D7">
        <w:rPr>
          <w:rFonts w:ascii="Bookman Old Style" w:hAnsi="Bookman Old Style" w:cs="Cambria"/>
          <w:sz w:val="24"/>
          <w:szCs w:val="24"/>
        </w:rPr>
        <w:t xml:space="preserve"> </w:t>
      </w:r>
      <w:r w:rsidRPr="00C803D7">
        <w:rPr>
          <w:rFonts w:ascii="Bookman Old Style" w:hAnsi="Bookman Old Style" w:cs="Cambria"/>
          <w:sz w:val="24"/>
          <w:szCs w:val="24"/>
        </w:rPr>
        <w:t>información,</w:t>
      </w:r>
      <w:r w:rsidR="00EE3A8B" w:rsidRPr="00C803D7">
        <w:rPr>
          <w:rFonts w:ascii="Bookman Old Style" w:hAnsi="Bookman Old Style" w:cs="Cambria"/>
          <w:sz w:val="24"/>
          <w:szCs w:val="24"/>
        </w:rPr>
        <w:t xml:space="preserve"> </w:t>
      </w:r>
      <w:r w:rsidRPr="00C803D7">
        <w:rPr>
          <w:rFonts w:ascii="Bookman Old Style" w:hAnsi="Bookman Old Style" w:cs="Cambria"/>
          <w:sz w:val="24"/>
          <w:szCs w:val="24"/>
        </w:rPr>
        <w:t>dado su perfil, fue ampliamente explicada,</w:t>
      </w:r>
      <w:r w:rsidR="00EE3A8B" w:rsidRPr="00C803D7">
        <w:rPr>
          <w:rFonts w:ascii="Bookman Old Style" w:hAnsi="Bookman Old Style" w:cs="Cambria"/>
          <w:sz w:val="24"/>
          <w:szCs w:val="24"/>
        </w:rPr>
        <w:t>”</w:t>
      </w:r>
      <w:r w:rsidRPr="00C803D7">
        <w:rPr>
          <w:rFonts w:ascii="Bookman Old Style" w:hAnsi="Bookman Old Style" w:cs="Cambria"/>
          <w:sz w:val="24"/>
          <w:szCs w:val="24"/>
        </w:rPr>
        <w:t xml:space="preserve"> pues no puede en modo</w:t>
      </w:r>
      <w:r w:rsidR="00EE3A8B" w:rsidRPr="00C803D7">
        <w:rPr>
          <w:rFonts w:ascii="Bookman Old Style" w:hAnsi="Bookman Old Style" w:cs="Cambria"/>
          <w:sz w:val="24"/>
          <w:szCs w:val="24"/>
        </w:rPr>
        <w:t xml:space="preserve"> </w:t>
      </w:r>
      <w:r w:rsidRPr="00C803D7">
        <w:rPr>
          <w:rFonts w:ascii="Bookman Old Style" w:hAnsi="Bookman Old Style" w:cs="Cambria"/>
          <w:sz w:val="24"/>
          <w:szCs w:val="24"/>
        </w:rPr>
        <w:t>alguno inferirse que</w:t>
      </w:r>
      <w:r w:rsidR="00EE3A8B" w:rsidRPr="00C803D7">
        <w:rPr>
          <w:rFonts w:ascii="Bookman Old Style" w:hAnsi="Bookman Old Style" w:cs="Cambria"/>
          <w:sz w:val="24"/>
          <w:szCs w:val="24"/>
        </w:rPr>
        <w:t xml:space="preserve"> estos clientes, </w:t>
      </w:r>
      <w:r w:rsidRPr="00C803D7">
        <w:rPr>
          <w:rFonts w:ascii="Bookman Old Style" w:hAnsi="Bookman Old Style" w:cs="Cambria"/>
          <w:sz w:val="24"/>
          <w:szCs w:val="24"/>
        </w:rPr>
        <w:t>sin formación específica en materia</w:t>
      </w:r>
      <w:r w:rsidR="00EE3A8B" w:rsidRPr="00C803D7">
        <w:rPr>
          <w:rFonts w:ascii="Bookman Old Style" w:hAnsi="Bookman Old Style" w:cs="Cambria"/>
          <w:sz w:val="24"/>
          <w:szCs w:val="24"/>
        </w:rPr>
        <w:t xml:space="preserve"> </w:t>
      </w:r>
      <w:r w:rsidRPr="00C803D7">
        <w:rPr>
          <w:rFonts w:ascii="Bookman Old Style" w:hAnsi="Bookman Old Style" w:cs="Cambria"/>
          <w:sz w:val="24"/>
          <w:szCs w:val="24"/>
        </w:rPr>
        <w:t>financiera al tiempo de la contratación,</w:t>
      </w:r>
      <w:r w:rsidR="00EE3A8B" w:rsidRPr="00C803D7">
        <w:rPr>
          <w:rFonts w:ascii="Bookman Old Style" w:hAnsi="Bookman Old Style" w:cs="Cambria"/>
          <w:sz w:val="24"/>
          <w:szCs w:val="24"/>
        </w:rPr>
        <w:t xml:space="preserve"> </w:t>
      </w:r>
      <w:r w:rsidRPr="00C803D7">
        <w:rPr>
          <w:rFonts w:ascii="Bookman Old Style" w:hAnsi="Bookman Old Style" w:cs="Cambria"/>
          <w:sz w:val="24"/>
          <w:szCs w:val="24"/>
        </w:rPr>
        <w:t>como se ha visto, tuviesen cumplido conocimiento de la operatividad del producto.</w:t>
      </w:r>
      <w:r w:rsidRPr="00C803D7">
        <w:rPr>
          <w:rFonts w:ascii="Bookman Old Style" w:hAnsi="Bookman Old Style" w:cs="Cambria"/>
          <w:sz w:val="24"/>
          <w:szCs w:val="24"/>
        </w:rPr>
        <w:t xml:space="preserve"> </w:t>
      </w:r>
    </w:p>
    <w:p w14:paraId="60B8B96D" w14:textId="112495C8" w:rsidR="0095283D" w:rsidRPr="00C803D7" w:rsidRDefault="00EE3A8B" w:rsidP="00C803D7">
      <w:pPr>
        <w:autoSpaceDE w:val="0"/>
        <w:autoSpaceDN w:val="0"/>
        <w:adjustRightInd w:val="0"/>
        <w:spacing w:after="0" w:line="240" w:lineRule="auto"/>
        <w:ind w:firstLine="708"/>
        <w:jc w:val="both"/>
        <w:rPr>
          <w:rFonts w:ascii="Bookman Old Style" w:hAnsi="Bookman Old Style" w:cs="Cambria"/>
          <w:sz w:val="24"/>
          <w:szCs w:val="24"/>
        </w:rPr>
      </w:pPr>
      <w:r w:rsidRPr="00C803D7">
        <w:rPr>
          <w:rFonts w:ascii="Bookman Old Style" w:hAnsi="Bookman Old Style" w:cs="Cambria"/>
          <w:sz w:val="24"/>
          <w:szCs w:val="24"/>
        </w:rPr>
        <w:t xml:space="preserve">En consecuencia, la sentencia concluye que ha de declararse nula la orden, </w:t>
      </w:r>
      <w:r w:rsidR="00DA7200" w:rsidRPr="00C803D7">
        <w:rPr>
          <w:rFonts w:ascii="Bookman Old Style" w:hAnsi="Bookman Old Style" w:cs="Cambria"/>
          <w:sz w:val="24"/>
          <w:szCs w:val="24"/>
        </w:rPr>
        <w:t>el correspondiente contrato, (orden de</w:t>
      </w:r>
      <w:r w:rsidRPr="00C803D7">
        <w:rPr>
          <w:rFonts w:ascii="Bookman Old Style" w:hAnsi="Bookman Old Style" w:cs="Cambria"/>
          <w:sz w:val="24"/>
          <w:szCs w:val="24"/>
        </w:rPr>
        <w:t xml:space="preserve"> </w:t>
      </w:r>
      <w:r w:rsidR="00DA7200" w:rsidRPr="00C803D7">
        <w:rPr>
          <w:rFonts w:ascii="Bookman Old Style" w:hAnsi="Bookman Old Style" w:cs="Cambria"/>
          <w:sz w:val="24"/>
          <w:szCs w:val="24"/>
        </w:rPr>
        <w:t xml:space="preserve">suscripción de obligaciones subordinadas </w:t>
      </w:r>
      <w:r w:rsidR="00C803D7" w:rsidRPr="00C803D7">
        <w:rPr>
          <w:rFonts w:ascii="Bookman Old Style" w:hAnsi="Bookman Old Style" w:cs="Cambria"/>
          <w:sz w:val="24"/>
          <w:szCs w:val="24"/>
        </w:rPr>
        <w:t>“OB.</w:t>
      </w:r>
      <w:r w:rsidR="00DA7200" w:rsidRPr="00C803D7">
        <w:rPr>
          <w:rFonts w:ascii="Bookman Old Style" w:hAnsi="Bookman Old Style" w:cs="Cambria"/>
          <w:sz w:val="24"/>
          <w:szCs w:val="24"/>
        </w:rPr>
        <w:t xml:space="preserve"> SUB. BANCO POPULAR VT. 07-21)</w:t>
      </w:r>
      <w:r w:rsidRPr="00C803D7">
        <w:rPr>
          <w:rFonts w:ascii="Bookman Old Style" w:hAnsi="Bookman Old Style" w:cs="Cambria"/>
          <w:sz w:val="24"/>
          <w:szCs w:val="24"/>
        </w:rPr>
        <w:t>, condenando BANCO SANTANDER a devolver el total importe invertido que asciende a QUINIENTOS MIL EUROS (500.000 €), más los intereses legales desde la fecha de la inversión, devolviendo los clientes los rendimientos obtenidos</w:t>
      </w:r>
      <w:r w:rsidR="00C803D7" w:rsidRPr="00C803D7">
        <w:rPr>
          <w:rFonts w:ascii="Bookman Old Style" w:hAnsi="Bookman Old Style" w:cs="Cambria"/>
          <w:sz w:val="24"/>
          <w:szCs w:val="24"/>
        </w:rPr>
        <w:t xml:space="preserve">, también con sus intereses, imponiendo las costas del procedimiento a BANCO SANTANDER. </w:t>
      </w:r>
    </w:p>
    <w:p w14:paraId="7DB725E6" w14:textId="7635E0A9" w:rsidR="00C803D7" w:rsidRPr="00C803D7" w:rsidRDefault="00C803D7" w:rsidP="00C803D7">
      <w:pPr>
        <w:autoSpaceDE w:val="0"/>
        <w:autoSpaceDN w:val="0"/>
        <w:adjustRightInd w:val="0"/>
        <w:spacing w:after="0" w:line="240" w:lineRule="auto"/>
        <w:ind w:firstLine="708"/>
        <w:jc w:val="both"/>
        <w:rPr>
          <w:rFonts w:ascii="Bookman Old Style" w:hAnsi="Bookman Old Style" w:cs="Cambria"/>
          <w:sz w:val="24"/>
          <w:szCs w:val="24"/>
        </w:rPr>
      </w:pPr>
    </w:p>
    <w:p w14:paraId="535D7A35" w14:textId="0F1AA55E" w:rsidR="00C803D7" w:rsidRPr="00C803D7" w:rsidRDefault="00C803D7" w:rsidP="00C803D7">
      <w:pPr>
        <w:autoSpaceDE w:val="0"/>
        <w:autoSpaceDN w:val="0"/>
        <w:adjustRightInd w:val="0"/>
        <w:spacing w:after="0" w:line="240" w:lineRule="auto"/>
        <w:ind w:firstLine="708"/>
        <w:jc w:val="both"/>
        <w:rPr>
          <w:rFonts w:ascii="Bookman Old Style" w:hAnsi="Bookman Old Style" w:cs="Cambria"/>
          <w:sz w:val="24"/>
          <w:szCs w:val="24"/>
        </w:rPr>
      </w:pPr>
      <w:r w:rsidRPr="00C803D7">
        <w:rPr>
          <w:rFonts w:ascii="Bookman Old Style" w:hAnsi="Bookman Old Style" w:cs="Cambria"/>
          <w:sz w:val="24"/>
          <w:szCs w:val="24"/>
        </w:rPr>
        <w:t>Departamento Civil de DURÁN &amp; DURÁN ABOGADOS</w:t>
      </w:r>
    </w:p>
    <w:sectPr w:rsidR="00C803D7" w:rsidRPr="00C803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3DB"/>
    <w:rsid w:val="006773DB"/>
    <w:rsid w:val="0095283D"/>
    <w:rsid w:val="00984FE3"/>
    <w:rsid w:val="00C803D7"/>
    <w:rsid w:val="00DA7200"/>
    <w:rsid w:val="00EE3A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3C47"/>
  <w15:chartTrackingRefBased/>
  <w15:docId w15:val="{4A044284-52C2-4F43-B41E-A880AFB7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850</Words>
  <Characters>4680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Duran</dc:creator>
  <cp:keywords/>
  <dc:description/>
  <cp:lastModifiedBy>Miguel Angel Duran</cp:lastModifiedBy>
  <cp:revision>1</cp:revision>
  <dcterms:created xsi:type="dcterms:W3CDTF">2019-11-25T14:29:00Z</dcterms:created>
  <dcterms:modified xsi:type="dcterms:W3CDTF">2019-11-25T15:16:00Z</dcterms:modified>
</cp:coreProperties>
</file>