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CBD6" w14:textId="266C353D" w:rsidR="00F732B7" w:rsidRDefault="00F732B7" w:rsidP="00F732B7">
      <w:pPr>
        <w:spacing w:line="360" w:lineRule="auto"/>
        <w:ind w:left="0"/>
        <w:rPr>
          <w:rFonts w:ascii="Bookman Old Style" w:hAnsi="Bookman Old Style" w:cstheme="minorHAnsi"/>
          <w:b/>
          <w:i/>
          <w:iCs/>
          <w:sz w:val="22"/>
          <w:szCs w:val="22"/>
          <w:lang w:val="es-ES"/>
        </w:rPr>
      </w:pPr>
      <w:r>
        <w:rPr>
          <w:rFonts w:ascii="Bookman Old Style" w:hAnsi="Bookman Old Style" w:cstheme="minorHAnsi"/>
          <w:b/>
          <w:sz w:val="22"/>
          <w:szCs w:val="22"/>
          <w:lang w:val="es-ES"/>
        </w:rPr>
        <w:t xml:space="preserve">QUE UNA SOCIEDAD ESTÉ ADMINISTRADA POR PERSONAS QUE OSTENTAN CARGOS DE ADMINISTRACIÓN EN DISTINTAS SOCIEDADES Y </w:t>
      </w:r>
      <w:r w:rsidRPr="00F732B7">
        <w:rPr>
          <w:rFonts w:ascii="Bookman Old Style" w:hAnsi="Bookman Old Style" w:cstheme="minorHAnsi"/>
          <w:b/>
          <w:sz w:val="22"/>
          <w:szCs w:val="22"/>
          <w:lang w:val="es-ES"/>
        </w:rPr>
        <w:t>QUE UNA DE ELLAS TEN</w:t>
      </w:r>
      <w:r>
        <w:rPr>
          <w:rFonts w:ascii="Bookman Old Style" w:hAnsi="Bookman Old Style" w:cstheme="minorHAnsi"/>
          <w:b/>
          <w:sz w:val="22"/>
          <w:szCs w:val="22"/>
          <w:lang w:val="es-ES"/>
        </w:rPr>
        <w:t xml:space="preserve">GA </w:t>
      </w:r>
      <w:r w:rsidRPr="00F732B7">
        <w:rPr>
          <w:rFonts w:ascii="Bookman Old Style" w:hAnsi="Bookman Old Style" w:cstheme="minorHAnsi"/>
          <w:b/>
          <w:sz w:val="22"/>
          <w:szCs w:val="22"/>
          <w:lang w:val="es-ES"/>
        </w:rPr>
        <w:t xml:space="preserve">POR OBJETO </w:t>
      </w:r>
      <w:r w:rsidRPr="00F732B7">
        <w:rPr>
          <w:rFonts w:ascii="Bookman Old Style" w:hAnsi="Bookman Old Style" w:cstheme="minorHAnsi"/>
          <w:b/>
          <w:i/>
          <w:iCs/>
          <w:sz w:val="22"/>
          <w:szCs w:val="22"/>
          <w:lang w:val="es-ES"/>
        </w:rPr>
        <w:t>“LA INTERMEDIACIÓN EN OPERACION</w:t>
      </w:r>
      <w:r>
        <w:rPr>
          <w:rFonts w:ascii="Bookman Old Style" w:hAnsi="Bookman Old Style" w:cstheme="minorHAnsi"/>
          <w:b/>
          <w:i/>
          <w:iCs/>
          <w:sz w:val="22"/>
          <w:szCs w:val="22"/>
          <w:lang w:val="es-ES"/>
        </w:rPr>
        <w:t>E</w:t>
      </w:r>
      <w:r w:rsidRPr="00F732B7">
        <w:rPr>
          <w:rFonts w:ascii="Bookman Old Style" w:hAnsi="Bookman Old Style" w:cstheme="minorHAnsi"/>
          <w:b/>
          <w:i/>
          <w:iCs/>
          <w:sz w:val="22"/>
          <w:szCs w:val="22"/>
          <w:lang w:val="es-ES"/>
        </w:rPr>
        <w:t>S CON VALORES Y OTROS ACTIVOS”</w:t>
      </w:r>
      <w:r>
        <w:rPr>
          <w:rFonts w:ascii="Bookman Old Style" w:hAnsi="Bookman Old Style" w:cstheme="minorHAnsi"/>
          <w:b/>
          <w:i/>
          <w:iCs/>
          <w:sz w:val="22"/>
          <w:szCs w:val="22"/>
          <w:lang w:val="es-ES"/>
        </w:rPr>
        <w:t xml:space="preserve"> NO ES OSBTÁCULO PARA DECLARAR LA NULIDAD DE LA ADQUISICIÓN DE ACCIONES DE BANCO POPULAR</w:t>
      </w:r>
      <w:r w:rsidRPr="00F732B7">
        <w:rPr>
          <w:rFonts w:ascii="Bookman Old Style" w:hAnsi="Bookman Old Style" w:cstheme="minorHAnsi"/>
          <w:b/>
          <w:i/>
          <w:iCs/>
          <w:sz w:val="22"/>
          <w:szCs w:val="22"/>
          <w:lang w:val="es-ES"/>
        </w:rPr>
        <w:t>.</w:t>
      </w:r>
    </w:p>
    <w:p w14:paraId="204324A0" w14:textId="7A2E8404" w:rsidR="00F732B7" w:rsidRPr="00F732B7" w:rsidRDefault="00F732B7" w:rsidP="00F732B7">
      <w:pPr>
        <w:spacing w:line="360" w:lineRule="auto"/>
        <w:ind w:left="0"/>
        <w:rPr>
          <w:rFonts w:ascii="Bookman Old Style" w:hAnsi="Bookman Old Style" w:cstheme="minorHAnsi"/>
          <w:b/>
          <w:i/>
          <w:iCs/>
          <w:sz w:val="22"/>
          <w:szCs w:val="22"/>
          <w:lang w:val="es-ES"/>
        </w:rPr>
      </w:pPr>
      <w:r>
        <w:rPr>
          <w:rFonts w:ascii="Bookman Old Style" w:hAnsi="Bookman Old Style" w:cstheme="minorHAnsi"/>
          <w:b/>
          <w:i/>
          <w:iCs/>
          <w:sz w:val="22"/>
          <w:szCs w:val="22"/>
          <w:lang w:val="es-ES"/>
        </w:rPr>
        <w:t>Así lo establece la sentencia que estima la demanda interpuesta por DURÁN &amp; DURÁN ABOGADOS, en nombre de una compañía que suscribió acciones de BANCO POPULAR ESPAÑOL.</w:t>
      </w:r>
    </w:p>
    <w:p w14:paraId="684B4999" w14:textId="4D1C2B3D" w:rsidR="007B1AC7" w:rsidRPr="00803B54" w:rsidRDefault="005F0041" w:rsidP="00803B54">
      <w:pPr>
        <w:spacing w:line="360" w:lineRule="auto"/>
        <w:ind w:left="0"/>
        <w:rPr>
          <w:rFonts w:ascii="Bookman Old Style" w:hAnsi="Bookman Old Style" w:cstheme="minorHAnsi"/>
          <w:b/>
          <w:bCs/>
          <w:sz w:val="22"/>
          <w:szCs w:val="22"/>
          <w:lang w:val="es-ES"/>
        </w:rPr>
      </w:pPr>
      <w:r>
        <w:rPr>
          <w:rFonts w:ascii="Bookman Old Style" w:hAnsi="Bookman Old Style" w:cstheme="minorHAnsi"/>
          <w:b/>
          <w:bCs/>
          <w:sz w:val="22"/>
          <w:szCs w:val="22"/>
          <w:lang w:val="es-ES"/>
        </w:rPr>
        <w:t>La</w:t>
      </w:r>
      <w:r w:rsidR="00803B54" w:rsidRPr="00803B54">
        <w:rPr>
          <w:rFonts w:ascii="Bookman Old Style" w:hAnsi="Bookman Old Style" w:cstheme="minorHAnsi"/>
          <w:b/>
          <w:bCs/>
          <w:sz w:val="22"/>
          <w:szCs w:val="22"/>
          <w:lang w:val="es-ES"/>
        </w:rPr>
        <w:t xml:space="preserve"> Ilm</w:t>
      </w:r>
      <w:r w:rsidR="00564369">
        <w:rPr>
          <w:rFonts w:ascii="Bookman Old Style" w:hAnsi="Bookman Old Style" w:cstheme="minorHAnsi"/>
          <w:b/>
          <w:bCs/>
          <w:sz w:val="22"/>
          <w:szCs w:val="22"/>
          <w:lang w:val="es-ES"/>
        </w:rPr>
        <w:t>a</w:t>
      </w:r>
      <w:r w:rsidR="00803B54" w:rsidRPr="00803B54">
        <w:rPr>
          <w:rFonts w:ascii="Bookman Old Style" w:hAnsi="Bookman Old Style" w:cstheme="minorHAnsi"/>
          <w:b/>
          <w:bCs/>
          <w:sz w:val="22"/>
          <w:szCs w:val="22"/>
          <w:lang w:val="es-ES"/>
        </w:rPr>
        <w:t>. Magistrad</w:t>
      </w:r>
      <w:r w:rsidR="00564369">
        <w:rPr>
          <w:rFonts w:ascii="Bookman Old Style" w:hAnsi="Bookman Old Style" w:cstheme="minorHAnsi"/>
          <w:b/>
          <w:bCs/>
          <w:sz w:val="22"/>
          <w:szCs w:val="22"/>
          <w:lang w:val="es-ES"/>
        </w:rPr>
        <w:t>a</w:t>
      </w:r>
      <w:r w:rsidR="00803B54" w:rsidRPr="00803B54">
        <w:rPr>
          <w:rFonts w:ascii="Bookman Old Style" w:hAnsi="Bookman Old Style" w:cstheme="minorHAnsi"/>
          <w:b/>
          <w:bCs/>
          <w:sz w:val="22"/>
          <w:szCs w:val="22"/>
          <w:lang w:val="es-ES"/>
        </w:rPr>
        <w:t xml:space="preserve"> D</w:t>
      </w:r>
      <w:r w:rsidR="00564369">
        <w:rPr>
          <w:rFonts w:ascii="Bookman Old Style" w:hAnsi="Bookman Old Style" w:cstheme="minorHAnsi"/>
          <w:b/>
          <w:bCs/>
          <w:sz w:val="22"/>
          <w:szCs w:val="22"/>
          <w:lang w:val="es-ES"/>
        </w:rPr>
        <w:t>ña</w:t>
      </w:r>
      <w:r w:rsidR="00803B54" w:rsidRPr="00803B54">
        <w:rPr>
          <w:rFonts w:ascii="Bookman Old Style" w:hAnsi="Bookman Old Style" w:cstheme="minorHAnsi"/>
          <w:b/>
          <w:bCs/>
          <w:sz w:val="22"/>
          <w:szCs w:val="22"/>
          <w:lang w:val="es-ES"/>
        </w:rPr>
        <w:t>.</w:t>
      </w:r>
      <w:r w:rsidR="00564369" w:rsidRPr="00564369">
        <w:t xml:space="preserve"> </w:t>
      </w:r>
      <w:r w:rsidR="00564369" w:rsidRPr="00564369">
        <w:rPr>
          <w:rFonts w:ascii="Bookman Old Style" w:hAnsi="Bookman Old Style" w:cstheme="minorHAnsi"/>
          <w:b/>
          <w:bCs/>
          <w:sz w:val="22"/>
          <w:szCs w:val="22"/>
          <w:lang w:val="es-ES"/>
        </w:rPr>
        <w:t>Ana Eirea Costoya</w:t>
      </w:r>
      <w:r w:rsidR="00803B54" w:rsidRPr="00803B54">
        <w:rPr>
          <w:rFonts w:ascii="Bookman Old Style" w:hAnsi="Bookman Old Style" w:cstheme="minorHAnsi"/>
          <w:b/>
          <w:bCs/>
          <w:sz w:val="22"/>
          <w:szCs w:val="22"/>
          <w:lang w:val="es-ES"/>
        </w:rPr>
        <w:t>, titular del Juzgado de Primera Instancia Número</w:t>
      </w:r>
      <w:r w:rsidR="00177864">
        <w:rPr>
          <w:rFonts w:ascii="Bookman Old Style" w:hAnsi="Bookman Old Style" w:cstheme="minorHAnsi"/>
          <w:b/>
          <w:bCs/>
          <w:sz w:val="22"/>
          <w:szCs w:val="22"/>
          <w:lang w:val="es-ES"/>
        </w:rPr>
        <w:t xml:space="preserve"> 5</w:t>
      </w:r>
      <w:r w:rsidR="00803B54" w:rsidRPr="00803B54">
        <w:rPr>
          <w:rFonts w:ascii="Bookman Old Style" w:hAnsi="Bookman Old Style" w:cstheme="minorHAnsi"/>
          <w:b/>
          <w:bCs/>
          <w:sz w:val="22"/>
          <w:szCs w:val="22"/>
          <w:lang w:val="es-ES"/>
        </w:rPr>
        <w:t>, de Sant Boi de Llobregat, ha dictado sentencia de fecha</w:t>
      </w:r>
      <w:r w:rsidR="00960030" w:rsidRPr="00803B54">
        <w:rPr>
          <w:rFonts w:ascii="Bookman Old Style" w:hAnsi="Bookman Old Style" w:cstheme="minorHAnsi"/>
          <w:b/>
          <w:bCs/>
          <w:sz w:val="22"/>
          <w:szCs w:val="22"/>
          <w:lang w:val="es-ES"/>
        </w:rPr>
        <w:t xml:space="preserve"> 1</w:t>
      </w:r>
      <w:r w:rsidR="000626E0" w:rsidRPr="00803B54">
        <w:rPr>
          <w:rFonts w:ascii="Bookman Old Style" w:hAnsi="Bookman Old Style" w:cstheme="minorHAnsi"/>
          <w:b/>
          <w:bCs/>
          <w:sz w:val="22"/>
          <w:szCs w:val="22"/>
          <w:lang w:val="es-ES"/>
        </w:rPr>
        <w:t xml:space="preserve"> de octubre de 2019</w:t>
      </w:r>
      <w:r w:rsidR="00960030" w:rsidRPr="00803B54">
        <w:rPr>
          <w:rFonts w:ascii="Bookman Old Style" w:hAnsi="Bookman Old Style" w:cstheme="minorHAnsi"/>
          <w:b/>
          <w:bCs/>
          <w:sz w:val="22"/>
          <w:szCs w:val="22"/>
          <w:lang w:val="es-ES"/>
        </w:rPr>
        <w:t>,</w:t>
      </w:r>
      <w:r w:rsidR="00803B54" w:rsidRPr="00803B54">
        <w:rPr>
          <w:rFonts w:ascii="Bookman Old Style" w:hAnsi="Bookman Old Style" w:cstheme="minorHAnsi"/>
          <w:b/>
          <w:bCs/>
          <w:sz w:val="22"/>
          <w:szCs w:val="22"/>
          <w:lang w:val="es-ES"/>
        </w:rPr>
        <w:t xml:space="preserve"> en virtud de la que determina que </w:t>
      </w:r>
      <w:r w:rsidR="00CF23CA" w:rsidRPr="00803B54">
        <w:rPr>
          <w:rFonts w:ascii="Bookman Old Style" w:hAnsi="Bookman Old Style" w:cstheme="minorHAnsi"/>
          <w:b/>
          <w:bCs/>
          <w:sz w:val="22"/>
          <w:szCs w:val="22"/>
          <w:lang w:val="es-ES"/>
        </w:rPr>
        <w:t xml:space="preserve">el perfil de la administradora de la empresa </w:t>
      </w:r>
      <w:r w:rsidR="00960030" w:rsidRPr="00803B54">
        <w:rPr>
          <w:rFonts w:ascii="Bookman Old Style" w:hAnsi="Bookman Old Style" w:cstheme="minorHAnsi"/>
          <w:b/>
          <w:bCs/>
          <w:sz w:val="22"/>
          <w:szCs w:val="22"/>
          <w:lang w:val="es-ES"/>
        </w:rPr>
        <w:t xml:space="preserve">no es relevante a los efectos de resolver la reclamación interpuesta por </w:t>
      </w:r>
      <w:r w:rsidR="00F5559E" w:rsidRPr="00803B54">
        <w:rPr>
          <w:rFonts w:ascii="Bookman Old Style" w:hAnsi="Bookman Old Style" w:cstheme="minorHAnsi"/>
          <w:b/>
          <w:bCs/>
          <w:sz w:val="22"/>
          <w:szCs w:val="22"/>
          <w:lang w:val="es-ES"/>
        </w:rPr>
        <w:t>el cliente</w:t>
      </w:r>
      <w:r w:rsidR="00960030" w:rsidRPr="00803B54">
        <w:rPr>
          <w:rFonts w:ascii="Bookman Old Style" w:hAnsi="Bookman Old Style" w:cstheme="minorHAnsi"/>
          <w:b/>
          <w:bCs/>
          <w:sz w:val="22"/>
          <w:szCs w:val="22"/>
          <w:lang w:val="es-ES"/>
        </w:rPr>
        <w:t xml:space="preserve"> respecto de las acciones de </w:t>
      </w:r>
      <w:r w:rsidR="00382D53" w:rsidRPr="00803B54">
        <w:rPr>
          <w:rFonts w:ascii="Bookman Old Style" w:hAnsi="Bookman Old Style" w:cstheme="minorHAnsi"/>
          <w:b/>
          <w:bCs/>
          <w:sz w:val="22"/>
          <w:szCs w:val="22"/>
          <w:lang w:val="es-ES"/>
        </w:rPr>
        <w:t xml:space="preserve">Banco Popular S.A, </w:t>
      </w:r>
      <w:r w:rsidR="00382D53" w:rsidRPr="00803B54">
        <w:rPr>
          <w:rFonts w:ascii="Bookman Old Style" w:hAnsi="Bookman Old Style" w:cs="Arial"/>
          <w:b/>
          <w:bCs/>
          <w:sz w:val="22"/>
          <w:szCs w:val="22"/>
        </w:rPr>
        <w:t>de 8 de mayo de 2014 y de 8 y 20 de junio de 2016</w:t>
      </w:r>
      <w:r w:rsidR="00C635DE" w:rsidRPr="00803B54">
        <w:rPr>
          <w:rFonts w:ascii="Bookman Old Style" w:hAnsi="Bookman Old Style" w:cs="Arial"/>
          <w:b/>
          <w:bCs/>
          <w:sz w:val="22"/>
          <w:szCs w:val="22"/>
        </w:rPr>
        <w:t xml:space="preserve"> por importe total de </w:t>
      </w:r>
      <w:r w:rsidR="00C635DE" w:rsidRPr="00803B54">
        <w:rPr>
          <w:rFonts w:ascii="Bookman Old Style" w:hAnsi="Bookman Old Style" w:cstheme="minorHAnsi"/>
          <w:b/>
          <w:bCs/>
          <w:sz w:val="22"/>
          <w:szCs w:val="22"/>
          <w:lang w:val="es-ES"/>
        </w:rPr>
        <w:t>40.027, 95 euros.</w:t>
      </w:r>
    </w:p>
    <w:p w14:paraId="658B90A7" w14:textId="77777777" w:rsidR="00F732B7" w:rsidRDefault="00F732B7" w:rsidP="00F732B7">
      <w:pPr>
        <w:spacing w:line="360" w:lineRule="auto"/>
        <w:ind w:left="0"/>
        <w:rPr>
          <w:rFonts w:ascii="Bookman Old Style" w:hAnsi="Bookman Old Style" w:cstheme="minorHAnsi"/>
          <w:bCs/>
          <w:sz w:val="22"/>
          <w:szCs w:val="22"/>
          <w:lang w:val="es-ES"/>
        </w:rPr>
      </w:pPr>
      <w:r>
        <w:rPr>
          <w:rFonts w:ascii="Bookman Old Style" w:hAnsi="Bookman Old Style" w:cstheme="minorHAnsi"/>
          <w:bCs/>
          <w:sz w:val="22"/>
          <w:szCs w:val="22"/>
          <w:lang w:val="es-ES"/>
        </w:rPr>
        <w:t xml:space="preserve">BANCO SANTANDER alegaba que la mercantil estaba administrada por distintas personas que ostentaban cargos en distintas sociedades, estando una de ellas dedicada a </w:t>
      </w:r>
      <w:r w:rsidRPr="00ED079C">
        <w:rPr>
          <w:rFonts w:ascii="Bookman Old Style" w:hAnsi="Bookman Old Style" w:cstheme="minorHAnsi"/>
          <w:bCs/>
          <w:i/>
          <w:iCs/>
          <w:sz w:val="22"/>
          <w:szCs w:val="22"/>
          <w:lang w:val="es-ES"/>
        </w:rPr>
        <w:t>“la intermediación en operaciones con valores y otros activos”</w:t>
      </w:r>
      <w:r>
        <w:rPr>
          <w:rFonts w:ascii="Bookman Old Style" w:hAnsi="Bookman Old Style" w:cstheme="minorHAnsi"/>
          <w:bCs/>
          <w:sz w:val="22"/>
          <w:szCs w:val="22"/>
          <w:lang w:val="es-ES"/>
        </w:rPr>
        <w:t>, de modo que no cabía apreciar error esencial y excusable ya que tenía experiencia previa en la contratación de acciones.</w:t>
      </w:r>
    </w:p>
    <w:p w14:paraId="083C27BB" w14:textId="77777777" w:rsidR="00F732B7" w:rsidRDefault="00B11C4E" w:rsidP="00F732B7">
      <w:pPr>
        <w:spacing w:line="360" w:lineRule="auto"/>
        <w:ind w:left="0"/>
        <w:rPr>
          <w:rFonts w:ascii="Bookman Old Style" w:hAnsi="Bookman Old Style"/>
          <w:b/>
          <w:bCs/>
          <w:sz w:val="22"/>
          <w:szCs w:val="22"/>
          <w:lang w:eastAsia="en-US"/>
        </w:rPr>
      </w:pPr>
      <w:r w:rsidRPr="00F732B7">
        <w:rPr>
          <w:rFonts w:ascii="Bookman Old Style" w:hAnsi="Bookman Old Style" w:cstheme="minorHAnsi"/>
          <w:b/>
          <w:bCs/>
          <w:sz w:val="22"/>
          <w:szCs w:val="22"/>
          <w:lang w:val="es-ES"/>
        </w:rPr>
        <w:t>La sentencia considera que lo relevante aquí</w:t>
      </w:r>
      <w:r w:rsidR="00960030" w:rsidRPr="00F732B7">
        <w:rPr>
          <w:rFonts w:ascii="Bookman Old Style" w:hAnsi="Bookman Old Style" w:cstheme="minorHAnsi"/>
          <w:b/>
          <w:bCs/>
          <w:sz w:val="22"/>
          <w:szCs w:val="22"/>
          <w:lang w:val="es-ES"/>
        </w:rPr>
        <w:t xml:space="preserve"> es analizar si </w:t>
      </w:r>
      <w:r w:rsidR="00ED079C" w:rsidRPr="00F732B7">
        <w:rPr>
          <w:rFonts w:ascii="Bookman Old Style" w:hAnsi="Bookman Old Style" w:cstheme="minorHAnsi"/>
          <w:b/>
          <w:bCs/>
          <w:sz w:val="22"/>
          <w:szCs w:val="22"/>
          <w:lang w:val="es-ES"/>
        </w:rPr>
        <w:t>la empresa</w:t>
      </w:r>
      <w:r w:rsidR="00960030" w:rsidRPr="00F732B7">
        <w:rPr>
          <w:rFonts w:ascii="Bookman Old Style" w:hAnsi="Bookman Old Style" w:cstheme="minorHAnsi"/>
          <w:b/>
          <w:bCs/>
          <w:sz w:val="22"/>
          <w:szCs w:val="22"/>
          <w:lang w:val="es-ES"/>
        </w:rPr>
        <w:t xml:space="preserve"> disponía de mecanismos para detectar </w:t>
      </w:r>
      <w:r w:rsidRPr="00F732B7">
        <w:rPr>
          <w:rFonts w:ascii="Bookman Old Style" w:hAnsi="Bookman Old Style" w:cstheme="minorHAnsi"/>
          <w:b/>
          <w:bCs/>
          <w:sz w:val="22"/>
          <w:szCs w:val="22"/>
          <w:lang w:val="es-ES"/>
        </w:rPr>
        <w:t xml:space="preserve">la verdadera situación de BANCO POPULAR </w:t>
      </w:r>
      <w:r w:rsidR="00960030" w:rsidRPr="00F732B7">
        <w:rPr>
          <w:rFonts w:ascii="Bookman Old Style" w:hAnsi="Bookman Old Style"/>
          <w:b/>
          <w:bCs/>
          <w:sz w:val="22"/>
          <w:szCs w:val="22"/>
          <w:lang w:eastAsia="en-US"/>
        </w:rPr>
        <w:t>y si</w:t>
      </w:r>
      <w:r w:rsidRPr="00F732B7">
        <w:rPr>
          <w:rFonts w:ascii="Bookman Old Style" w:hAnsi="Bookman Old Style"/>
          <w:b/>
          <w:bCs/>
          <w:sz w:val="22"/>
          <w:szCs w:val="22"/>
          <w:lang w:eastAsia="en-US"/>
        </w:rPr>
        <w:t>, además,</w:t>
      </w:r>
      <w:r w:rsidR="00960030" w:rsidRPr="00F732B7">
        <w:rPr>
          <w:rFonts w:ascii="Bookman Old Style" w:hAnsi="Bookman Old Style"/>
          <w:b/>
          <w:bCs/>
          <w:sz w:val="22"/>
          <w:szCs w:val="22"/>
          <w:lang w:eastAsia="en-US"/>
        </w:rPr>
        <w:t xml:space="preserve"> se facilitó al cliente otra información </w:t>
      </w:r>
      <w:r w:rsidR="006F315B" w:rsidRPr="00F732B7">
        <w:rPr>
          <w:rFonts w:ascii="Bookman Old Style" w:hAnsi="Bookman Old Style"/>
          <w:b/>
          <w:bCs/>
          <w:sz w:val="22"/>
          <w:szCs w:val="22"/>
          <w:lang w:eastAsia="en-US"/>
        </w:rPr>
        <w:t>además de la que se indicaba en</w:t>
      </w:r>
      <w:r w:rsidR="00960030" w:rsidRPr="00F732B7">
        <w:rPr>
          <w:rFonts w:ascii="Bookman Old Style" w:hAnsi="Bookman Old Style"/>
          <w:b/>
          <w:bCs/>
          <w:sz w:val="22"/>
          <w:szCs w:val="22"/>
          <w:lang w:eastAsia="en-US"/>
        </w:rPr>
        <w:t xml:space="preserve"> el folleto informativo</w:t>
      </w:r>
      <w:r w:rsidR="007B1AC7" w:rsidRPr="00F732B7">
        <w:rPr>
          <w:rFonts w:ascii="Bookman Old Style" w:hAnsi="Bookman Old Style"/>
          <w:b/>
          <w:bCs/>
          <w:sz w:val="22"/>
          <w:szCs w:val="22"/>
          <w:lang w:eastAsia="en-US"/>
        </w:rPr>
        <w:t xml:space="preserve"> emitido por Ban</w:t>
      </w:r>
      <w:r w:rsidR="00382D53" w:rsidRPr="00F732B7">
        <w:rPr>
          <w:rFonts w:ascii="Bookman Old Style" w:hAnsi="Bookman Old Style"/>
          <w:b/>
          <w:bCs/>
          <w:sz w:val="22"/>
          <w:szCs w:val="22"/>
          <w:lang w:eastAsia="en-US"/>
        </w:rPr>
        <w:t>co Popular S.A</w:t>
      </w:r>
      <w:r w:rsidR="00ED079C" w:rsidRPr="00F732B7">
        <w:rPr>
          <w:rFonts w:ascii="Bookman Old Style" w:hAnsi="Bookman Old Style"/>
          <w:b/>
          <w:bCs/>
          <w:sz w:val="22"/>
          <w:szCs w:val="22"/>
          <w:lang w:eastAsia="en-US"/>
        </w:rPr>
        <w:t>.</w:t>
      </w:r>
    </w:p>
    <w:p w14:paraId="28FE4D77" w14:textId="77777777" w:rsidR="00F732B7" w:rsidRDefault="00656783" w:rsidP="00F732B7">
      <w:pPr>
        <w:autoSpaceDE w:val="0"/>
        <w:autoSpaceDN w:val="0"/>
        <w:spacing w:after="0" w:line="360" w:lineRule="auto"/>
        <w:ind w:left="0"/>
        <w:rPr>
          <w:rFonts w:ascii="Bookman Old Style" w:eastAsia="Calibri" w:hAnsi="Bookman Old Style" w:cs="Calibri"/>
          <w:iCs/>
          <w:sz w:val="22"/>
          <w:szCs w:val="22"/>
          <w:lang w:val="es-ES"/>
        </w:rPr>
      </w:pPr>
      <w:r w:rsidRPr="00F732B7">
        <w:rPr>
          <w:rFonts w:ascii="Bookman Old Style" w:eastAsia="Calibri" w:hAnsi="Bookman Old Style" w:cs="Calibri"/>
          <w:iCs/>
          <w:sz w:val="22"/>
          <w:szCs w:val="22"/>
          <w:lang w:val="es-ES"/>
        </w:rPr>
        <w:t>Aunque l</w:t>
      </w:r>
      <w:r w:rsidR="00207019" w:rsidRPr="00F732B7">
        <w:rPr>
          <w:rFonts w:ascii="Bookman Old Style" w:eastAsia="Calibri" w:hAnsi="Bookman Old Style" w:cs="Calibri"/>
          <w:iCs/>
          <w:sz w:val="22"/>
          <w:szCs w:val="22"/>
          <w:lang w:val="es-ES"/>
        </w:rPr>
        <w:t>a administradora de la empresa es</w:t>
      </w:r>
      <w:r w:rsidR="00F732B7">
        <w:rPr>
          <w:rFonts w:ascii="Bookman Old Style" w:eastAsia="Calibri" w:hAnsi="Bookman Old Style" w:cs="Calibri"/>
          <w:iCs/>
          <w:sz w:val="22"/>
          <w:szCs w:val="22"/>
          <w:lang w:val="es-ES"/>
        </w:rPr>
        <w:t>,</w:t>
      </w:r>
      <w:r w:rsidR="00207019" w:rsidRPr="00F732B7">
        <w:rPr>
          <w:rFonts w:ascii="Bookman Old Style" w:eastAsia="Calibri" w:hAnsi="Bookman Old Style" w:cs="Calibri"/>
          <w:iCs/>
          <w:sz w:val="22"/>
          <w:szCs w:val="22"/>
          <w:lang w:val="es-ES"/>
        </w:rPr>
        <w:t xml:space="preserve"> </w:t>
      </w:r>
      <w:r w:rsidR="00B40F64" w:rsidRPr="00F732B7">
        <w:rPr>
          <w:rFonts w:ascii="Bookman Old Style" w:eastAsia="Calibri" w:hAnsi="Bookman Old Style" w:cs="Calibri"/>
          <w:iCs/>
          <w:sz w:val="22"/>
          <w:szCs w:val="22"/>
          <w:lang w:val="es-ES"/>
        </w:rPr>
        <w:t xml:space="preserve">al mismo tiempo administradora única </w:t>
      </w:r>
      <w:r w:rsidR="00207019" w:rsidRPr="00F732B7">
        <w:rPr>
          <w:rFonts w:ascii="Bookman Old Style" w:eastAsia="Calibri" w:hAnsi="Bookman Old Style" w:cs="Calibri"/>
          <w:iCs/>
          <w:sz w:val="22"/>
          <w:szCs w:val="22"/>
          <w:lang w:val="es-ES"/>
        </w:rPr>
        <w:t xml:space="preserve">de </w:t>
      </w:r>
      <w:r w:rsidR="00B40F64" w:rsidRPr="00F732B7">
        <w:rPr>
          <w:rFonts w:ascii="Bookman Old Style" w:eastAsia="Calibri" w:hAnsi="Bookman Old Style" w:cs="Calibri"/>
          <w:iCs/>
          <w:sz w:val="22"/>
          <w:szCs w:val="22"/>
          <w:lang w:val="es-ES"/>
        </w:rPr>
        <w:t>una mercantil cuya actividad principal es la de “intermediación en operaciones con valores y otros activos”</w:t>
      </w:r>
      <w:r w:rsidRPr="00F732B7">
        <w:rPr>
          <w:rFonts w:ascii="Bookman Old Style" w:eastAsia="Calibri" w:hAnsi="Bookman Old Style" w:cs="Calibri"/>
          <w:iCs/>
          <w:sz w:val="22"/>
          <w:szCs w:val="22"/>
          <w:lang w:val="es-ES"/>
        </w:rPr>
        <w:t>, concluye que</w:t>
      </w:r>
      <w:r w:rsidR="00F732B7">
        <w:rPr>
          <w:rFonts w:ascii="Bookman Old Style" w:eastAsia="Calibri" w:hAnsi="Bookman Old Style" w:cs="Calibri"/>
          <w:iCs/>
          <w:sz w:val="22"/>
          <w:szCs w:val="22"/>
          <w:lang w:val="es-ES"/>
        </w:rPr>
        <w:t>:</w:t>
      </w:r>
    </w:p>
    <w:p w14:paraId="62AA439E" w14:textId="77777777" w:rsidR="00F732B7" w:rsidRDefault="00F732B7" w:rsidP="00F732B7">
      <w:pPr>
        <w:autoSpaceDE w:val="0"/>
        <w:autoSpaceDN w:val="0"/>
        <w:spacing w:after="0" w:line="360" w:lineRule="auto"/>
        <w:ind w:left="0"/>
        <w:rPr>
          <w:rFonts w:ascii="Bookman Old Style" w:eastAsia="Calibri" w:hAnsi="Bookman Old Style" w:cs="Calibri"/>
          <w:iCs/>
          <w:sz w:val="22"/>
          <w:szCs w:val="22"/>
          <w:lang w:val="es-ES"/>
        </w:rPr>
      </w:pPr>
    </w:p>
    <w:p w14:paraId="284C90FD" w14:textId="38F0EECC" w:rsidR="00462C6A" w:rsidRPr="00F732B7" w:rsidRDefault="00207019" w:rsidP="00F732B7">
      <w:pPr>
        <w:autoSpaceDE w:val="0"/>
        <w:autoSpaceDN w:val="0"/>
        <w:spacing w:after="0" w:line="360" w:lineRule="auto"/>
        <w:ind w:left="0"/>
        <w:rPr>
          <w:rFonts w:ascii="Bookman Old Style" w:eastAsia="Calibri" w:hAnsi="Bookman Old Style" w:cs="Calibri"/>
          <w:b/>
          <w:bCs/>
          <w:iCs/>
          <w:sz w:val="22"/>
          <w:szCs w:val="22"/>
          <w:lang w:val="es-ES"/>
        </w:rPr>
      </w:pPr>
      <w:r w:rsidRPr="00F732B7">
        <w:rPr>
          <w:rFonts w:ascii="Bookman Old Style" w:eastAsia="Calibri" w:hAnsi="Bookman Old Style" w:cs="Calibri"/>
          <w:b/>
          <w:bCs/>
          <w:i/>
          <w:sz w:val="22"/>
          <w:szCs w:val="22"/>
          <w:lang w:val="es-ES"/>
        </w:rPr>
        <w:t xml:space="preserve">“Ello implicaría, en todo caso, un conocimiento por parte de la actora del mercado financiero y que la suscripción de acciones conlleva una serie de riesgos; pero en ningún caso dicho conocimiento puede equiparse como causa de exención de responsabilidad de la demandada, a una obligación </w:t>
      </w:r>
      <w:r w:rsidRPr="00F732B7">
        <w:rPr>
          <w:rFonts w:ascii="Bookman Old Style" w:eastAsia="Calibri" w:hAnsi="Bookman Old Style" w:cs="Calibri"/>
          <w:b/>
          <w:bCs/>
          <w:i/>
          <w:sz w:val="22"/>
          <w:szCs w:val="22"/>
          <w:lang w:val="es-ES"/>
        </w:rPr>
        <w:lastRenderedPageBreak/>
        <w:t>por parte de la demandante de adivinar</w:t>
      </w:r>
      <w:r w:rsidR="00F5559E" w:rsidRPr="00F732B7">
        <w:rPr>
          <w:rFonts w:ascii="Bookman Old Style" w:eastAsia="Calibri" w:hAnsi="Bookman Old Style" w:cs="Calibri"/>
          <w:b/>
          <w:bCs/>
          <w:i/>
          <w:sz w:val="22"/>
          <w:szCs w:val="22"/>
          <w:lang w:val="es-ES"/>
        </w:rPr>
        <w:t>,</w:t>
      </w:r>
      <w:r w:rsidRPr="00F732B7">
        <w:rPr>
          <w:rFonts w:ascii="Bookman Old Style" w:eastAsia="Calibri" w:hAnsi="Bookman Old Style" w:cs="Calibri"/>
          <w:b/>
          <w:bCs/>
          <w:i/>
          <w:sz w:val="22"/>
          <w:szCs w:val="22"/>
          <w:lang w:val="es-ES"/>
        </w:rPr>
        <w:t xml:space="preserve"> que la entidad que mostraba una apariencia absoluta de solvencia, iba, prácticamente de la noche a la mañana, a vender todas sus acciones por 1 euro. Esta circunstancia era imposible de prever por muchos que fueran los conocimientos de la demandante.</w:t>
      </w:r>
      <w:r w:rsidR="00C3341D" w:rsidRPr="00F732B7">
        <w:rPr>
          <w:rFonts w:ascii="Bookman Old Style" w:eastAsia="Calibri" w:hAnsi="Bookman Old Style" w:cs="Calibri"/>
          <w:b/>
          <w:bCs/>
          <w:i/>
          <w:sz w:val="22"/>
          <w:szCs w:val="22"/>
          <w:lang w:val="es-ES"/>
        </w:rPr>
        <w:t>”</w:t>
      </w:r>
    </w:p>
    <w:p w14:paraId="166534FE" w14:textId="77777777" w:rsidR="00462C6A" w:rsidRDefault="00462C6A" w:rsidP="00462C6A">
      <w:pPr>
        <w:autoSpaceDE w:val="0"/>
        <w:autoSpaceDN w:val="0"/>
        <w:spacing w:after="0" w:line="360" w:lineRule="auto"/>
        <w:ind w:left="720"/>
        <w:rPr>
          <w:rFonts w:ascii="Bookman Old Style" w:eastAsia="Calibri" w:hAnsi="Bookman Old Style" w:cs="Calibri"/>
          <w:bCs/>
          <w:iCs/>
          <w:sz w:val="22"/>
          <w:szCs w:val="22"/>
          <w:lang w:val="es-ES"/>
        </w:rPr>
      </w:pPr>
    </w:p>
    <w:p w14:paraId="3C13CFC9" w14:textId="5315653E" w:rsidR="00960030" w:rsidRPr="00F732B7" w:rsidRDefault="00F732B7" w:rsidP="00F732B7">
      <w:pPr>
        <w:autoSpaceDE w:val="0"/>
        <w:autoSpaceDN w:val="0"/>
        <w:spacing w:after="0" w:line="360" w:lineRule="auto"/>
        <w:ind w:left="0"/>
        <w:rPr>
          <w:rFonts w:ascii="Bookman Old Style" w:eastAsia="Calibri" w:hAnsi="Bookman Old Style" w:cs="Calibri"/>
          <w:b/>
          <w:iCs/>
          <w:sz w:val="22"/>
          <w:szCs w:val="22"/>
          <w:lang w:val="es-ES"/>
        </w:rPr>
      </w:pPr>
      <w:r>
        <w:rPr>
          <w:rFonts w:ascii="Bookman Old Style" w:eastAsia="Calibri" w:hAnsi="Bookman Old Style" w:cs="Calibri"/>
          <w:bCs/>
          <w:iCs/>
          <w:sz w:val="22"/>
          <w:szCs w:val="22"/>
          <w:lang w:val="es-ES"/>
        </w:rPr>
        <w:t xml:space="preserve">La sentencia sostiene </w:t>
      </w:r>
      <w:r w:rsidRPr="00F732B7">
        <w:rPr>
          <w:rFonts w:ascii="Bookman Old Style" w:eastAsia="Calibri" w:hAnsi="Bookman Old Style" w:cs="Calibri"/>
          <w:b/>
          <w:iCs/>
          <w:sz w:val="22"/>
          <w:szCs w:val="22"/>
          <w:lang w:val="es-ES"/>
        </w:rPr>
        <w:t>que BANCO SANTANDER t</w:t>
      </w:r>
      <w:r w:rsidR="00960030" w:rsidRPr="00F732B7">
        <w:rPr>
          <w:rFonts w:ascii="Bookman Old Style" w:eastAsia="Calibri" w:hAnsi="Bookman Old Style" w:cs="Calibri"/>
          <w:b/>
          <w:iCs/>
          <w:sz w:val="22"/>
          <w:szCs w:val="22"/>
          <w:lang w:val="es-ES"/>
        </w:rPr>
        <w:t xml:space="preserve">ampoco </w:t>
      </w:r>
      <w:r w:rsidRPr="00F732B7">
        <w:rPr>
          <w:rFonts w:ascii="Bookman Old Style" w:eastAsia="Calibri" w:hAnsi="Bookman Old Style" w:cs="Calibri"/>
          <w:b/>
          <w:iCs/>
          <w:sz w:val="22"/>
          <w:szCs w:val="22"/>
          <w:lang w:val="es-ES"/>
        </w:rPr>
        <w:t>h</w:t>
      </w:r>
      <w:r w:rsidR="00960030" w:rsidRPr="00F732B7">
        <w:rPr>
          <w:rFonts w:ascii="Bookman Old Style" w:eastAsia="Calibri" w:hAnsi="Bookman Old Style" w:cs="Calibri"/>
          <w:b/>
          <w:iCs/>
          <w:sz w:val="22"/>
          <w:szCs w:val="22"/>
          <w:lang w:val="es-ES"/>
        </w:rPr>
        <w:t>a probado</w:t>
      </w:r>
      <w:r w:rsidR="007E75C5" w:rsidRPr="00F732B7">
        <w:rPr>
          <w:rFonts w:ascii="Bookman Old Style" w:eastAsia="Calibri" w:hAnsi="Bookman Old Style" w:cs="Calibri"/>
          <w:b/>
          <w:iCs/>
          <w:sz w:val="22"/>
          <w:szCs w:val="22"/>
          <w:lang w:val="es-ES"/>
        </w:rPr>
        <w:t xml:space="preserve"> </w:t>
      </w:r>
      <w:r w:rsidRPr="00F732B7">
        <w:rPr>
          <w:rFonts w:ascii="Bookman Old Style" w:eastAsia="Calibri" w:hAnsi="Bookman Old Style" w:cs="Calibri"/>
          <w:b/>
          <w:iCs/>
          <w:sz w:val="22"/>
          <w:szCs w:val="22"/>
          <w:lang w:val="es-ES"/>
        </w:rPr>
        <w:t xml:space="preserve">la sociedad que adquirió </w:t>
      </w:r>
      <w:r w:rsidR="00960030" w:rsidRPr="00F732B7">
        <w:rPr>
          <w:rFonts w:ascii="Bookman Old Style" w:eastAsia="Calibri" w:hAnsi="Bookman Old Style" w:cs="Calibri"/>
          <w:b/>
          <w:iCs/>
          <w:sz w:val="22"/>
          <w:szCs w:val="22"/>
          <w:lang w:val="es-ES"/>
        </w:rPr>
        <w:t>pudiera tener elementos para detectar que la información del folleto no era reflejo de la verdadera situación de B</w:t>
      </w:r>
      <w:r>
        <w:rPr>
          <w:rFonts w:ascii="Bookman Old Style" w:eastAsia="Calibri" w:hAnsi="Bookman Old Style" w:cs="Calibri"/>
          <w:b/>
          <w:iCs/>
          <w:sz w:val="22"/>
          <w:szCs w:val="22"/>
          <w:lang w:val="es-ES"/>
        </w:rPr>
        <w:t>ANCO POPULAR ESPAÑOL</w:t>
      </w:r>
      <w:r w:rsidR="00960030" w:rsidRPr="00F732B7">
        <w:rPr>
          <w:rFonts w:ascii="Bookman Old Style" w:eastAsia="Calibri" w:hAnsi="Bookman Old Style" w:cs="Calibri"/>
          <w:b/>
          <w:iCs/>
          <w:sz w:val="22"/>
          <w:szCs w:val="22"/>
          <w:lang w:val="es-ES"/>
        </w:rPr>
        <w:t>, sin que pueda exigírsele mayor nivel de comprobación que el desplegado por los organismos que debían controlar la veracidad de los datos del folleto informativo y aprobar su emisión, y que no detectaron la imagen falseada que se ofreció en dicho folleto.</w:t>
      </w:r>
    </w:p>
    <w:p w14:paraId="7286FCB1" w14:textId="77777777" w:rsidR="00EA524F" w:rsidRPr="00EA524F" w:rsidRDefault="00EA524F" w:rsidP="00692BE5">
      <w:pPr>
        <w:pStyle w:val="Prrafodelista"/>
        <w:ind w:firstLine="284"/>
        <w:rPr>
          <w:rFonts w:ascii="Bookman Old Style" w:eastAsia="Calibri" w:hAnsi="Bookman Old Style" w:cs="Calibri"/>
          <w:iCs/>
          <w:sz w:val="22"/>
          <w:szCs w:val="22"/>
          <w:lang w:val="es-ES"/>
        </w:rPr>
      </w:pPr>
    </w:p>
    <w:p w14:paraId="067AE046" w14:textId="77777777" w:rsidR="00F732B7" w:rsidRDefault="00F732B7" w:rsidP="00F732B7">
      <w:pPr>
        <w:autoSpaceDE w:val="0"/>
        <w:autoSpaceDN w:val="0"/>
        <w:spacing w:after="0" w:line="360" w:lineRule="auto"/>
        <w:ind w:left="0"/>
        <w:rPr>
          <w:rFonts w:ascii="Bookman Old Style" w:eastAsia="Calibri" w:hAnsi="Bookman Old Style" w:cs="Calibri"/>
          <w:i/>
          <w:sz w:val="22"/>
          <w:szCs w:val="22"/>
          <w:lang w:val="es-ES"/>
        </w:rPr>
      </w:pPr>
      <w:r>
        <w:rPr>
          <w:rFonts w:ascii="Bookman Old Style" w:eastAsia="Calibri" w:hAnsi="Bookman Old Style" w:cs="Calibri"/>
          <w:i/>
          <w:sz w:val="22"/>
          <w:szCs w:val="22"/>
          <w:lang w:val="es-ES"/>
        </w:rPr>
        <w:t xml:space="preserve">Del mismo modo establece que: </w:t>
      </w:r>
    </w:p>
    <w:p w14:paraId="540E4980" w14:textId="77777777" w:rsidR="00F732B7" w:rsidRDefault="00F732B7" w:rsidP="00F732B7">
      <w:pPr>
        <w:autoSpaceDE w:val="0"/>
        <w:autoSpaceDN w:val="0"/>
        <w:spacing w:after="0" w:line="360" w:lineRule="auto"/>
        <w:ind w:left="0"/>
        <w:rPr>
          <w:rFonts w:ascii="Bookman Old Style" w:eastAsia="Calibri" w:hAnsi="Bookman Old Style" w:cs="Calibri"/>
          <w:i/>
          <w:sz w:val="22"/>
          <w:szCs w:val="22"/>
          <w:lang w:val="es-ES"/>
        </w:rPr>
      </w:pPr>
    </w:p>
    <w:p w14:paraId="47EE2FCB" w14:textId="32FAA164" w:rsidR="005D1CB9" w:rsidRPr="00F732B7" w:rsidRDefault="005D1CB9" w:rsidP="00F732B7">
      <w:pPr>
        <w:autoSpaceDE w:val="0"/>
        <w:autoSpaceDN w:val="0"/>
        <w:spacing w:after="0" w:line="360" w:lineRule="auto"/>
        <w:ind w:left="0"/>
        <w:rPr>
          <w:rFonts w:ascii="Bookman Old Style" w:eastAsia="Calibri" w:hAnsi="Bookman Old Style" w:cs="Calibri"/>
          <w:b/>
          <w:bCs/>
          <w:iCs/>
          <w:sz w:val="22"/>
          <w:szCs w:val="22"/>
          <w:lang w:val="es-ES"/>
        </w:rPr>
      </w:pPr>
      <w:r w:rsidRPr="00F732B7">
        <w:rPr>
          <w:rFonts w:ascii="Bookman Old Style" w:eastAsia="Calibri" w:hAnsi="Bookman Old Style" w:cs="Calibri"/>
          <w:b/>
          <w:bCs/>
          <w:i/>
          <w:sz w:val="22"/>
          <w:szCs w:val="22"/>
          <w:lang w:val="es-ES"/>
        </w:rPr>
        <w:t>“</w:t>
      </w:r>
      <w:r w:rsidRPr="00F732B7">
        <w:rPr>
          <w:rFonts w:ascii="Bookman Old Style" w:eastAsia="Calibri" w:hAnsi="Bookman Old Style" w:cs="Calibri"/>
          <w:b/>
          <w:bCs/>
          <w:i/>
          <w:sz w:val="22"/>
          <w:szCs w:val="22"/>
          <w:u w:val="single"/>
          <w:lang w:val="es-ES"/>
        </w:rPr>
        <w:t>La aparente solvencia de la entidad demandada fue determinante para la decisión de la adquirente, a quien no podía exigírsele la comprobación de la solvencia cuando, hasta el momento de la suscripción de las acciones, la verdadera situación no había sido detectada por los organismos de supervisión especializados</w:t>
      </w:r>
      <w:r w:rsidRPr="00F732B7">
        <w:rPr>
          <w:rFonts w:ascii="Bookman Old Style" w:eastAsia="Calibri" w:hAnsi="Bookman Old Style" w:cs="Calibri"/>
          <w:b/>
          <w:bCs/>
          <w:i/>
          <w:sz w:val="22"/>
          <w:szCs w:val="22"/>
          <w:lang w:val="es-ES"/>
        </w:rPr>
        <w:t xml:space="preserve"> y, con posterioridad a la ampliación de capital, Banco Popular tuvo que corregir las cuentas de 2016, reflejando pérdidas superiores, y fue acordada su intervención y venta por un euro y, por tales motivos, carece de relevancia la experiencia inversora previa que pudiera tener el contratante y el hecho de que se trate de un producto no complejo”.</w:t>
      </w:r>
    </w:p>
    <w:p w14:paraId="2E9FC6D1" w14:textId="77777777" w:rsidR="00995BCC" w:rsidRPr="00995BCC" w:rsidRDefault="00995BCC" w:rsidP="00692BE5">
      <w:pPr>
        <w:pStyle w:val="Prrafodelista"/>
        <w:ind w:firstLine="284"/>
        <w:rPr>
          <w:rFonts w:ascii="Bookman Old Style" w:eastAsia="Calibri" w:hAnsi="Bookman Old Style" w:cs="Calibri"/>
          <w:iCs/>
          <w:sz w:val="22"/>
          <w:szCs w:val="22"/>
          <w:lang w:val="es-ES"/>
        </w:rPr>
      </w:pPr>
    </w:p>
    <w:p w14:paraId="395C8E9F" w14:textId="77777777" w:rsidR="00F732B7" w:rsidRDefault="004E3B44" w:rsidP="00F732B7">
      <w:pPr>
        <w:autoSpaceDE w:val="0"/>
        <w:autoSpaceDN w:val="0"/>
        <w:spacing w:after="0" w:line="360" w:lineRule="auto"/>
        <w:ind w:left="0"/>
        <w:rPr>
          <w:rFonts w:ascii="Bookman Old Style" w:eastAsia="Calibri" w:hAnsi="Bookman Old Style" w:cs="Calibri"/>
          <w:iCs/>
          <w:sz w:val="22"/>
          <w:szCs w:val="22"/>
          <w:lang w:val="es-ES"/>
        </w:rPr>
      </w:pPr>
      <w:r w:rsidRPr="00F732B7">
        <w:rPr>
          <w:rFonts w:ascii="Bookman Old Style" w:eastAsia="Calibri" w:hAnsi="Bookman Old Style" w:cs="Calibri"/>
          <w:iCs/>
          <w:sz w:val="22"/>
          <w:szCs w:val="22"/>
        </w:rPr>
        <w:t>En relación con</w:t>
      </w:r>
      <w:r w:rsidR="004E108A" w:rsidRPr="00F732B7">
        <w:rPr>
          <w:rFonts w:ascii="Bookman Old Style" w:eastAsia="Calibri" w:hAnsi="Bookman Old Style" w:cs="Calibri"/>
          <w:iCs/>
          <w:sz w:val="22"/>
          <w:szCs w:val="22"/>
        </w:rPr>
        <w:t xml:space="preserve"> la prueba practicada la </w:t>
      </w:r>
      <w:r w:rsidR="00154361" w:rsidRPr="00F732B7">
        <w:rPr>
          <w:rFonts w:ascii="Bookman Old Style" w:eastAsia="Calibri" w:hAnsi="Bookman Old Style" w:cs="Calibri"/>
          <w:iCs/>
          <w:sz w:val="22"/>
          <w:szCs w:val="22"/>
        </w:rPr>
        <w:t xml:space="preserve">sentencia afirma </w:t>
      </w:r>
      <w:r w:rsidR="00960030" w:rsidRPr="00F732B7">
        <w:rPr>
          <w:rFonts w:ascii="Bookman Old Style" w:eastAsia="Calibri" w:hAnsi="Bookman Old Style" w:cs="Calibri"/>
          <w:iCs/>
          <w:sz w:val="22"/>
          <w:szCs w:val="22"/>
          <w:lang w:val="es-ES"/>
        </w:rPr>
        <w:t>que</w:t>
      </w:r>
      <w:r w:rsidR="00F732B7">
        <w:rPr>
          <w:rFonts w:ascii="Bookman Old Style" w:eastAsia="Calibri" w:hAnsi="Bookman Old Style" w:cs="Calibri"/>
          <w:iCs/>
          <w:sz w:val="22"/>
          <w:szCs w:val="22"/>
          <w:lang w:val="es-ES"/>
        </w:rPr>
        <w:t>:</w:t>
      </w:r>
    </w:p>
    <w:p w14:paraId="3B63C892" w14:textId="77777777" w:rsidR="00F732B7" w:rsidRDefault="00F732B7" w:rsidP="00F732B7">
      <w:pPr>
        <w:autoSpaceDE w:val="0"/>
        <w:autoSpaceDN w:val="0"/>
        <w:spacing w:after="0" w:line="360" w:lineRule="auto"/>
        <w:ind w:left="0"/>
        <w:rPr>
          <w:rFonts w:ascii="Bookman Old Style" w:eastAsia="Calibri" w:hAnsi="Bookman Old Style" w:cs="Calibri"/>
          <w:iCs/>
          <w:sz w:val="22"/>
          <w:szCs w:val="22"/>
          <w:lang w:val="es-ES"/>
        </w:rPr>
      </w:pPr>
    </w:p>
    <w:p w14:paraId="3A085EDE" w14:textId="2ED84F37" w:rsidR="00397BD5" w:rsidRPr="00F732B7" w:rsidRDefault="00960030" w:rsidP="00F732B7">
      <w:pPr>
        <w:autoSpaceDE w:val="0"/>
        <w:autoSpaceDN w:val="0"/>
        <w:spacing w:after="0" w:line="360" w:lineRule="auto"/>
        <w:ind w:left="0"/>
        <w:rPr>
          <w:rFonts w:ascii="Bookman Old Style" w:eastAsia="Calibri" w:hAnsi="Bookman Old Style" w:cs="Calibri"/>
          <w:iCs/>
          <w:sz w:val="22"/>
          <w:szCs w:val="22"/>
          <w:lang w:val="es-ES"/>
        </w:rPr>
      </w:pPr>
      <w:r w:rsidRPr="00F732B7">
        <w:rPr>
          <w:rFonts w:ascii="Bookman Old Style" w:eastAsia="Calibri" w:hAnsi="Bookman Old Style" w:cs="Calibri"/>
          <w:iCs/>
          <w:sz w:val="22"/>
          <w:szCs w:val="22"/>
          <w:lang w:val="es-ES"/>
        </w:rPr>
        <w:t xml:space="preserve"> </w:t>
      </w:r>
      <w:r w:rsidR="00121877" w:rsidRPr="00F732B7">
        <w:rPr>
          <w:rFonts w:ascii="Bookman Old Style" w:eastAsia="Calibri" w:hAnsi="Bookman Old Style" w:cs="Calibri"/>
          <w:i/>
          <w:sz w:val="22"/>
          <w:szCs w:val="22"/>
          <w:lang w:val="es-ES"/>
        </w:rPr>
        <w:t xml:space="preserve">“Del informe pericial y de la documentación aportada por la demandante, -hechos notorios-, resulta acreditado que la demandada </w:t>
      </w:r>
      <w:r w:rsidR="00121877" w:rsidRPr="00F732B7">
        <w:rPr>
          <w:rFonts w:ascii="Bookman Old Style" w:eastAsia="Calibri" w:hAnsi="Bookman Old Style" w:cs="Calibri"/>
          <w:b/>
          <w:bCs/>
          <w:i/>
          <w:sz w:val="22"/>
          <w:szCs w:val="22"/>
          <w:lang w:val="es-ES"/>
        </w:rPr>
        <w:t>faltó a la verdad en relación a su situación patrimonial, pues la situación financiera narrada en el folleto informativo y las perspectivas del emisor no fueron reales</w:t>
      </w:r>
      <w:r w:rsidR="00121877" w:rsidRPr="00F732B7">
        <w:rPr>
          <w:rFonts w:ascii="Bookman Old Style" w:eastAsia="Calibri" w:hAnsi="Bookman Old Style" w:cs="Calibri"/>
          <w:i/>
          <w:sz w:val="22"/>
          <w:szCs w:val="22"/>
          <w:lang w:val="es-ES"/>
        </w:rPr>
        <w:t xml:space="preserve"> </w:t>
      </w:r>
      <w:r w:rsidR="00121877" w:rsidRPr="00F732B7">
        <w:rPr>
          <w:rFonts w:ascii="Bookman Old Style" w:eastAsia="Calibri" w:hAnsi="Bookman Old Style" w:cs="Calibri"/>
          <w:b/>
          <w:bCs/>
          <w:i/>
          <w:sz w:val="22"/>
          <w:szCs w:val="22"/>
          <w:lang w:val="es-ES"/>
        </w:rPr>
        <w:t>y no reflejaban la imagen de solvencia publicitada</w:t>
      </w:r>
      <w:r w:rsidR="00121877" w:rsidRPr="00F732B7">
        <w:rPr>
          <w:rFonts w:ascii="Bookman Old Style" w:eastAsia="Calibri" w:hAnsi="Bookman Old Style" w:cs="Calibri"/>
          <w:i/>
          <w:sz w:val="22"/>
          <w:szCs w:val="22"/>
          <w:lang w:val="es-ES"/>
        </w:rPr>
        <w:t xml:space="preserve"> ni la situación económica financiera real. La situación patrimonial divulgada y el hecho de que un organismo público de control supervisara que el folleto informativo contribuyó a </w:t>
      </w:r>
      <w:r w:rsidR="00121877" w:rsidRPr="00F732B7">
        <w:rPr>
          <w:rFonts w:ascii="Bookman Old Style" w:eastAsia="Calibri" w:hAnsi="Bookman Old Style" w:cs="Calibri"/>
          <w:i/>
          <w:sz w:val="22"/>
          <w:szCs w:val="22"/>
          <w:lang w:val="es-ES"/>
        </w:rPr>
        <w:lastRenderedPageBreak/>
        <w:t xml:space="preserve">reforzar la imagen de solvencia e influyeron sobre la voluntad de compra </w:t>
      </w:r>
      <w:r w:rsidR="00121877" w:rsidRPr="00F732B7">
        <w:rPr>
          <w:rFonts w:ascii="Bookman Old Style" w:eastAsia="Calibri" w:hAnsi="Bookman Old Style" w:cs="Calibri"/>
          <w:b/>
          <w:bCs/>
          <w:i/>
          <w:sz w:val="22"/>
          <w:szCs w:val="22"/>
          <w:lang w:val="es-ES"/>
        </w:rPr>
        <w:t>determinando la concurrencia de error en el consentimiento del demandante</w:t>
      </w:r>
      <w:r w:rsidR="00121877" w:rsidRPr="00F732B7">
        <w:rPr>
          <w:rFonts w:ascii="Bookman Old Style" w:eastAsia="Calibri" w:hAnsi="Bookman Old Style" w:cs="Calibri"/>
          <w:i/>
          <w:sz w:val="22"/>
          <w:szCs w:val="22"/>
          <w:lang w:val="es-ES"/>
        </w:rPr>
        <w:t xml:space="preserve">, que no consta que fuera debidamente informado de la situación financiera de Banco Popular, S.A”.  </w:t>
      </w:r>
      <w:r w:rsidR="0002619E" w:rsidRPr="00F732B7">
        <w:rPr>
          <w:rFonts w:ascii="Bookman Old Style" w:eastAsia="Calibri" w:hAnsi="Bookman Old Style" w:cs="Calibri"/>
          <w:iCs/>
          <w:sz w:val="22"/>
          <w:szCs w:val="22"/>
          <w:lang w:val="es-ES"/>
        </w:rPr>
        <w:t>Resuelve</w:t>
      </w:r>
      <w:r w:rsidRPr="00F732B7">
        <w:rPr>
          <w:rFonts w:ascii="Bookman Old Style" w:eastAsia="Calibri" w:hAnsi="Bookman Old Style" w:cs="Calibri"/>
          <w:iCs/>
          <w:sz w:val="22"/>
          <w:szCs w:val="22"/>
          <w:lang w:val="es-ES"/>
        </w:rPr>
        <w:t xml:space="preserve"> que la situación financiera que se reflejaba en el folleto informativo de las acciones no se correspondía con la situación económica financiera real y que </w:t>
      </w:r>
      <w:r w:rsidR="006B34AA" w:rsidRPr="00F732B7">
        <w:rPr>
          <w:rFonts w:ascii="Bookman Old Style" w:eastAsia="Calibri" w:hAnsi="Bookman Old Style" w:cs="Calibri"/>
          <w:iCs/>
          <w:sz w:val="22"/>
          <w:szCs w:val="22"/>
          <w:lang w:val="es-ES"/>
        </w:rPr>
        <w:t>la demandante</w:t>
      </w:r>
      <w:r w:rsidRPr="00F732B7">
        <w:rPr>
          <w:rFonts w:ascii="Bookman Old Style" w:eastAsia="Calibri" w:hAnsi="Bookman Old Style" w:cs="Calibri"/>
          <w:iCs/>
          <w:sz w:val="22"/>
          <w:szCs w:val="22"/>
          <w:lang w:val="es-ES"/>
        </w:rPr>
        <w:t>, a pesar de su condición de</w:t>
      </w:r>
      <w:r w:rsidR="001C1E4D" w:rsidRPr="00F732B7">
        <w:rPr>
          <w:rFonts w:ascii="Bookman Old Style" w:eastAsia="Calibri" w:hAnsi="Bookman Old Style" w:cs="Calibri"/>
          <w:iCs/>
          <w:sz w:val="22"/>
          <w:szCs w:val="22"/>
          <w:lang w:val="es-ES"/>
        </w:rPr>
        <w:t xml:space="preserve"> profesional</w:t>
      </w:r>
      <w:r w:rsidRPr="00F732B7">
        <w:rPr>
          <w:rFonts w:ascii="Bookman Old Style" w:eastAsia="Calibri" w:hAnsi="Bookman Old Style" w:cs="Calibri"/>
          <w:iCs/>
          <w:sz w:val="22"/>
          <w:szCs w:val="22"/>
          <w:lang w:val="es-ES"/>
        </w:rPr>
        <w:t>, no dispuso de elementos suficientes para poder advertir cuál era la situación real</w:t>
      </w:r>
      <w:r w:rsidR="006F315B" w:rsidRPr="00F732B7">
        <w:rPr>
          <w:rFonts w:ascii="Bookman Old Style" w:eastAsia="Calibri" w:hAnsi="Bookman Old Style" w:cs="Calibri"/>
          <w:iCs/>
          <w:sz w:val="22"/>
          <w:szCs w:val="22"/>
          <w:lang w:val="es-ES"/>
        </w:rPr>
        <w:t xml:space="preserve"> de la entidad</w:t>
      </w:r>
      <w:r w:rsidR="00C74AA3" w:rsidRPr="00F732B7">
        <w:rPr>
          <w:rFonts w:ascii="Bookman Old Style" w:eastAsia="Calibri" w:hAnsi="Bookman Old Style" w:cs="Calibri"/>
          <w:iCs/>
          <w:sz w:val="22"/>
          <w:szCs w:val="22"/>
          <w:lang w:val="es-ES"/>
        </w:rPr>
        <w:t>,</w:t>
      </w:r>
      <w:r w:rsidR="008B3808" w:rsidRPr="00F732B7">
        <w:rPr>
          <w:rFonts w:ascii="Bookman Old Style" w:eastAsia="Calibri" w:hAnsi="Bookman Old Style" w:cs="Calibri"/>
          <w:iCs/>
          <w:sz w:val="22"/>
          <w:szCs w:val="22"/>
          <w:lang w:val="es-ES"/>
        </w:rPr>
        <w:t xml:space="preserve"> </w:t>
      </w:r>
      <w:r w:rsidR="00C74AA3" w:rsidRPr="00F732B7">
        <w:rPr>
          <w:rFonts w:ascii="Bookman Old Style" w:eastAsia="Calibri" w:hAnsi="Bookman Old Style" w:cs="Calibri"/>
          <w:iCs/>
          <w:sz w:val="22"/>
          <w:szCs w:val="22"/>
          <w:lang w:val="es-ES"/>
        </w:rPr>
        <w:t>y asimismo,</w:t>
      </w:r>
      <w:r w:rsidR="001368C6" w:rsidRPr="00F732B7">
        <w:rPr>
          <w:rFonts w:ascii="Bookman Old Style" w:eastAsia="Calibri" w:hAnsi="Bookman Old Style" w:cs="Calibri"/>
          <w:iCs/>
          <w:sz w:val="22"/>
          <w:szCs w:val="22"/>
          <w:lang w:val="es-ES"/>
        </w:rPr>
        <w:t xml:space="preserve"> no consta que fuera debidamente informad</w:t>
      </w:r>
      <w:r w:rsidR="0002619E" w:rsidRPr="00F732B7">
        <w:rPr>
          <w:rFonts w:ascii="Bookman Old Style" w:eastAsia="Calibri" w:hAnsi="Bookman Old Style" w:cs="Calibri"/>
          <w:iCs/>
          <w:sz w:val="22"/>
          <w:szCs w:val="22"/>
          <w:lang w:val="es-ES"/>
        </w:rPr>
        <w:t>a de la situación financiera</w:t>
      </w:r>
      <w:r w:rsidR="001368C6" w:rsidRPr="00F732B7">
        <w:rPr>
          <w:rFonts w:ascii="Bookman Old Style" w:eastAsia="Calibri" w:hAnsi="Bookman Old Style" w:cs="Calibri"/>
          <w:iCs/>
          <w:sz w:val="22"/>
          <w:szCs w:val="22"/>
          <w:lang w:val="es-ES"/>
        </w:rPr>
        <w:t xml:space="preserve"> por </w:t>
      </w:r>
      <w:r w:rsidR="0002619E" w:rsidRPr="00F732B7">
        <w:rPr>
          <w:rFonts w:ascii="Bookman Old Style" w:eastAsia="Calibri" w:hAnsi="Bookman Old Style" w:cs="Calibri"/>
          <w:iCs/>
          <w:sz w:val="22"/>
          <w:szCs w:val="22"/>
          <w:lang w:val="es-ES"/>
        </w:rPr>
        <w:t>la demandada</w:t>
      </w:r>
      <w:r w:rsidRPr="00F732B7">
        <w:rPr>
          <w:rFonts w:ascii="Bookman Old Style" w:eastAsia="Calibri" w:hAnsi="Bookman Old Style" w:cs="Calibri"/>
          <w:iCs/>
          <w:sz w:val="22"/>
          <w:szCs w:val="22"/>
          <w:lang w:val="es-ES"/>
        </w:rPr>
        <w:t>.</w:t>
      </w:r>
    </w:p>
    <w:p w14:paraId="6E2C466F" w14:textId="77777777" w:rsidR="00397BD5" w:rsidRPr="00397BD5" w:rsidRDefault="00397BD5" w:rsidP="00692BE5">
      <w:pPr>
        <w:pStyle w:val="Prrafodelista"/>
        <w:ind w:firstLine="284"/>
        <w:rPr>
          <w:rFonts w:ascii="Bookman Old Style" w:eastAsia="Calibri" w:hAnsi="Bookman Old Style" w:cs="Calibri"/>
          <w:iCs/>
          <w:sz w:val="22"/>
          <w:szCs w:val="22"/>
          <w:lang w:val="es-ES"/>
        </w:rPr>
      </w:pPr>
    </w:p>
    <w:p w14:paraId="78C0CAD9" w14:textId="4A84122E" w:rsidR="00DA27A7" w:rsidRPr="00F732B7" w:rsidRDefault="004E3B44" w:rsidP="00F732B7">
      <w:pPr>
        <w:autoSpaceDE w:val="0"/>
        <w:autoSpaceDN w:val="0"/>
        <w:spacing w:after="0" w:line="360" w:lineRule="auto"/>
        <w:ind w:left="0"/>
        <w:rPr>
          <w:rFonts w:ascii="Bookman Old Style" w:eastAsia="Calibri" w:hAnsi="Bookman Old Style" w:cs="Calibri"/>
          <w:b/>
          <w:bCs/>
          <w:iCs/>
          <w:sz w:val="22"/>
          <w:szCs w:val="22"/>
          <w:lang w:val="es-ES"/>
        </w:rPr>
      </w:pPr>
      <w:r w:rsidRPr="00F732B7">
        <w:rPr>
          <w:rFonts w:ascii="Bookman Old Style" w:eastAsia="Calibri" w:hAnsi="Bookman Old Style" w:cs="Calibri"/>
          <w:b/>
          <w:bCs/>
          <w:iCs/>
          <w:sz w:val="22"/>
          <w:szCs w:val="22"/>
          <w:lang w:val="es-ES"/>
        </w:rPr>
        <w:t>Sobre</w:t>
      </w:r>
      <w:r w:rsidR="00DA27A7" w:rsidRPr="00F732B7">
        <w:rPr>
          <w:rFonts w:ascii="Bookman Old Style" w:eastAsia="Calibri" w:hAnsi="Bookman Old Style" w:cs="Calibri"/>
          <w:b/>
          <w:bCs/>
          <w:iCs/>
          <w:sz w:val="22"/>
          <w:szCs w:val="22"/>
          <w:lang w:val="es-ES"/>
        </w:rPr>
        <w:t xml:space="preserve"> las dificultades patrimoniales de la entidad emisora de las acciones</w:t>
      </w:r>
      <w:r w:rsidR="00E01644" w:rsidRPr="00F732B7">
        <w:rPr>
          <w:rFonts w:ascii="Bookman Old Style" w:eastAsia="Calibri" w:hAnsi="Bookman Old Style" w:cs="Calibri"/>
          <w:b/>
          <w:bCs/>
          <w:iCs/>
          <w:sz w:val="22"/>
          <w:szCs w:val="22"/>
          <w:lang w:val="es-ES"/>
        </w:rPr>
        <w:t>, la sentencia resuelve que</w:t>
      </w:r>
      <w:r w:rsidR="00DA27A7" w:rsidRPr="00F732B7">
        <w:rPr>
          <w:rFonts w:ascii="Bookman Old Style" w:eastAsia="Calibri" w:hAnsi="Bookman Old Style" w:cs="Calibri"/>
          <w:b/>
          <w:bCs/>
          <w:iCs/>
          <w:sz w:val="22"/>
          <w:szCs w:val="22"/>
          <w:lang w:val="es-ES"/>
        </w:rPr>
        <w:t xml:space="preserve"> no pueden tener como origen una retirada importante de fondos</w:t>
      </w:r>
      <w:r w:rsidR="00BB3FD9" w:rsidRPr="00F732B7">
        <w:rPr>
          <w:rFonts w:ascii="Bookman Old Style" w:eastAsia="Calibri" w:hAnsi="Bookman Old Style" w:cs="Calibri"/>
          <w:b/>
          <w:bCs/>
          <w:iCs/>
          <w:sz w:val="22"/>
          <w:szCs w:val="22"/>
          <w:lang w:val="es-ES"/>
        </w:rPr>
        <w:t xml:space="preserve"> </w:t>
      </w:r>
      <w:r w:rsidR="00735134" w:rsidRPr="00F732B7">
        <w:rPr>
          <w:rFonts w:ascii="Bookman Old Style" w:eastAsia="Calibri" w:hAnsi="Bookman Old Style" w:cs="Calibri"/>
          <w:b/>
          <w:bCs/>
          <w:iCs/>
          <w:sz w:val="22"/>
          <w:szCs w:val="22"/>
          <w:lang w:val="es-ES"/>
        </w:rPr>
        <w:t xml:space="preserve">en el mes de junio de 2017 </w:t>
      </w:r>
      <w:r w:rsidR="003F677E" w:rsidRPr="00F732B7">
        <w:rPr>
          <w:rFonts w:ascii="Bookman Old Style" w:eastAsia="Calibri" w:hAnsi="Bookman Old Style" w:cs="Calibri"/>
          <w:b/>
          <w:bCs/>
          <w:iCs/>
          <w:sz w:val="22"/>
          <w:szCs w:val="22"/>
          <w:lang w:val="es-ES"/>
        </w:rPr>
        <w:t>extremo que</w:t>
      </w:r>
      <w:r w:rsidR="00BB3FD9" w:rsidRPr="00F732B7">
        <w:rPr>
          <w:rFonts w:ascii="Bookman Old Style" w:eastAsia="Calibri" w:hAnsi="Bookman Old Style" w:cs="Calibri"/>
          <w:b/>
          <w:bCs/>
          <w:iCs/>
          <w:sz w:val="22"/>
          <w:szCs w:val="22"/>
          <w:lang w:val="es-ES"/>
        </w:rPr>
        <w:t xml:space="preserve"> la demandada no ha </w:t>
      </w:r>
      <w:r w:rsidR="00735134" w:rsidRPr="00F732B7">
        <w:rPr>
          <w:rFonts w:ascii="Bookman Old Style" w:eastAsia="Calibri" w:hAnsi="Bookman Old Style" w:cs="Calibri"/>
          <w:b/>
          <w:bCs/>
          <w:iCs/>
          <w:sz w:val="22"/>
          <w:szCs w:val="22"/>
          <w:lang w:val="es-ES"/>
        </w:rPr>
        <w:t>acreditado</w:t>
      </w:r>
      <w:r w:rsidR="003F677E" w:rsidRPr="00F732B7">
        <w:rPr>
          <w:rFonts w:ascii="Bookman Old Style" w:eastAsia="Calibri" w:hAnsi="Bookman Old Style" w:cs="Calibri"/>
          <w:b/>
          <w:bCs/>
          <w:iCs/>
          <w:sz w:val="22"/>
          <w:szCs w:val="22"/>
          <w:lang w:val="es-ES"/>
        </w:rPr>
        <w:t>, ya que no ha explicado</w:t>
      </w:r>
      <w:r w:rsidR="00BB3FD9" w:rsidRPr="00F732B7">
        <w:rPr>
          <w:rFonts w:ascii="Bookman Old Style" w:eastAsia="Calibri" w:hAnsi="Bookman Old Style" w:cs="Calibri"/>
          <w:b/>
          <w:bCs/>
          <w:iCs/>
          <w:sz w:val="22"/>
          <w:szCs w:val="22"/>
          <w:lang w:val="es-ES"/>
        </w:rPr>
        <w:t xml:space="preserve"> la causa de </w:t>
      </w:r>
      <w:r w:rsidR="00F732B7">
        <w:rPr>
          <w:rFonts w:ascii="Bookman Old Style" w:eastAsia="Calibri" w:hAnsi="Bookman Old Style" w:cs="Calibri"/>
          <w:b/>
          <w:bCs/>
          <w:iCs/>
          <w:sz w:val="22"/>
          <w:szCs w:val="22"/>
          <w:lang w:val="es-ES"/>
        </w:rPr>
        <w:t>é</w:t>
      </w:r>
      <w:r w:rsidR="000D5098" w:rsidRPr="00F732B7">
        <w:rPr>
          <w:rFonts w:ascii="Bookman Old Style" w:eastAsia="Calibri" w:hAnsi="Bookman Old Style" w:cs="Calibri"/>
          <w:b/>
          <w:bCs/>
          <w:iCs/>
          <w:sz w:val="22"/>
          <w:szCs w:val="22"/>
          <w:lang w:val="es-ES"/>
        </w:rPr>
        <w:t>stos</w:t>
      </w:r>
      <w:r w:rsidR="00BB3FD9" w:rsidRPr="00F732B7">
        <w:rPr>
          <w:rFonts w:ascii="Bookman Old Style" w:eastAsia="Calibri" w:hAnsi="Bookman Old Style" w:cs="Calibri"/>
          <w:b/>
          <w:bCs/>
          <w:iCs/>
          <w:sz w:val="22"/>
          <w:szCs w:val="22"/>
          <w:lang w:val="es-ES"/>
        </w:rPr>
        <w:t xml:space="preserve"> en tan corto periodo de tiempo</w:t>
      </w:r>
      <w:r w:rsidR="005D1CB9" w:rsidRPr="00F732B7">
        <w:rPr>
          <w:rFonts w:ascii="Bookman Old Style" w:eastAsia="Calibri" w:hAnsi="Bookman Old Style" w:cs="Calibri"/>
          <w:b/>
          <w:bCs/>
          <w:iCs/>
          <w:sz w:val="22"/>
          <w:szCs w:val="22"/>
          <w:lang w:val="es-ES"/>
        </w:rPr>
        <w:t>.</w:t>
      </w:r>
    </w:p>
    <w:p w14:paraId="5940A1B4" w14:textId="77777777" w:rsidR="00960030" w:rsidRPr="00040027" w:rsidRDefault="00960030" w:rsidP="00692BE5">
      <w:pPr>
        <w:autoSpaceDE w:val="0"/>
        <w:autoSpaceDN w:val="0"/>
        <w:spacing w:after="0" w:line="360" w:lineRule="auto"/>
        <w:ind w:left="0" w:firstLine="284"/>
        <w:rPr>
          <w:rFonts w:ascii="Bookman Old Style" w:eastAsia="Calibri" w:hAnsi="Bookman Old Style" w:cs="Calibri"/>
          <w:iCs/>
          <w:sz w:val="22"/>
          <w:szCs w:val="22"/>
        </w:rPr>
      </w:pPr>
    </w:p>
    <w:p w14:paraId="58B7D623" w14:textId="6C48A826" w:rsidR="006F315B" w:rsidRDefault="00F732B7" w:rsidP="00F732B7">
      <w:pPr>
        <w:spacing w:line="360" w:lineRule="auto"/>
        <w:ind w:left="0"/>
        <w:rPr>
          <w:rFonts w:ascii="Bookman Old Style" w:hAnsi="Bookman Old Style"/>
          <w:sz w:val="22"/>
          <w:szCs w:val="22"/>
          <w:lang w:eastAsia="en-US"/>
        </w:rPr>
      </w:pPr>
      <w:r>
        <w:rPr>
          <w:rFonts w:ascii="Bookman Old Style" w:hAnsi="Bookman Old Style"/>
          <w:sz w:val="22"/>
          <w:szCs w:val="22"/>
          <w:lang w:eastAsia="en-US"/>
        </w:rPr>
        <w:t xml:space="preserve">Todo ello determina que la sentencia declare que </w:t>
      </w:r>
      <w:r w:rsidR="001C1E4D">
        <w:rPr>
          <w:rFonts w:ascii="Bookman Old Style" w:hAnsi="Bookman Old Style"/>
          <w:sz w:val="22"/>
          <w:szCs w:val="22"/>
          <w:lang w:eastAsia="en-US"/>
        </w:rPr>
        <w:t xml:space="preserve">los </w:t>
      </w:r>
      <w:r w:rsidR="00960030" w:rsidRPr="00040027">
        <w:rPr>
          <w:rFonts w:ascii="Bookman Old Style" w:hAnsi="Bookman Old Style"/>
          <w:sz w:val="22"/>
          <w:szCs w:val="22"/>
          <w:lang w:eastAsia="en-US"/>
        </w:rPr>
        <w:t>contrato</w:t>
      </w:r>
      <w:r w:rsidR="001C1E4D">
        <w:rPr>
          <w:rFonts w:ascii="Bookman Old Style" w:hAnsi="Bookman Old Style"/>
          <w:sz w:val="22"/>
          <w:szCs w:val="22"/>
          <w:lang w:eastAsia="en-US"/>
        </w:rPr>
        <w:t>s</w:t>
      </w:r>
      <w:r w:rsidR="00960030" w:rsidRPr="00040027">
        <w:rPr>
          <w:rFonts w:ascii="Bookman Old Style" w:hAnsi="Bookman Old Style"/>
          <w:sz w:val="22"/>
          <w:szCs w:val="22"/>
          <w:lang w:eastAsia="en-US"/>
        </w:rPr>
        <w:t xml:space="preserve"> </w:t>
      </w:r>
      <w:r>
        <w:rPr>
          <w:rFonts w:ascii="Bookman Old Style" w:hAnsi="Bookman Old Style"/>
          <w:sz w:val="22"/>
          <w:szCs w:val="22"/>
          <w:lang w:eastAsia="en-US"/>
        </w:rPr>
        <w:t xml:space="preserve">de adquisición </w:t>
      </w:r>
      <w:r w:rsidR="001C1E4D">
        <w:rPr>
          <w:rFonts w:ascii="Bookman Old Style" w:hAnsi="Bookman Old Style"/>
          <w:sz w:val="22"/>
          <w:szCs w:val="22"/>
          <w:lang w:eastAsia="en-US"/>
        </w:rPr>
        <w:t>son</w:t>
      </w:r>
      <w:r w:rsidR="00960030" w:rsidRPr="00040027">
        <w:rPr>
          <w:rFonts w:ascii="Bookman Old Style" w:hAnsi="Bookman Old Style"/>
          <w:sz w:val="22"/>
          <w:szCs w:val="22"/>
          <w:lang w:eastAsia="en-US"/>
        </w:rPr>
        <w:t xml:space="preserve"> nulo</w:t>
      </w:r>
      <w:r w:rsidR="001C1E4D">
        <w:rPr>
          <w:rFonts w:ascii="Bookman Old Style" w:hAnsi="Bookman Old Style"/>
          <w:sz w:val="22"/>
          <w:szCs w:val="22"/>
          <w:lang w:eastAsia="en-US"/>
        </w:rPr>
        <w:t>s</w:t>
      </w:r>
      <w:r w:rsidR="00960030" w:rsidRPr="00040027">
        <w:rPr>
          <w:rFonts w:ascii="Bookman Old Style" w:hAnsi="Bookman Old Style"/>
          <w:sz w:val="22"/>
          <w:szCs w:val="22"/>
          <w:lang w:eastAsia="en-US"/>
        </w:rPr>
        <w:t xml:space="preserve"> </w:t>
      </w:r>
      <w:r w:rsidR="00464302">
        <w:rPr>
          <w:rFonts w:ascii="Bookman Old Style" w:hAnsi="Bookman Old Style"/>
          <w:sz w:val="22"/>
          <w:szCs w:val="22"/>
          <w:lang w:eastAsia="en-US"/>
        </w:rPr>
        <w:t>dado que el error invalida el consentimiento del adquirente</w:t>
      </w:r>
      <w:r w:rsidR="00960030" w:rsidRPr="00040027">
        <w:rPr>
          <w:rFonts w:ascii="Bookman Old Style" w:hAnsi="Bookman Old Style"/>
          <w:sz w:val="22"/>
          <w:szCs w:val="22"/>
          <w:lang w:eastAsia="en-US"/>
        </w:rPr>
        <w:t xml:space="preserve"> y condena a </w:t>
      </w:r>
      <w:r>
        <w:rPr>
          <w:rFonts w:ascii="Bookman Old Style" w:hAnsi="Bookman Old Style"/>
          <w:sz w:val="22"/>
          <w:szCs w:val="22"/>
          <w:lang w:eastAsia="en-US"/>
        </w:rPr>
        <w:t>BANCO SANTANDER, S.A.</w:t>
      </w:r>
      <w:r w:rsidR="00960030" w:rsidRPr="00040027">
        <w:rPr>
          <w:rFonts w:ascii="Bookman Old Style" w:hAnsi="Bookman Old Style"/>
          <w:sz w:val="22"/>
          <w:szCs w:val="22"/>
          <w:lang w:eastAsia="en-US"/>
        </w:rPr>
        <w:t xml:space="preserve">, a devolver </w:t>
      </w:r>
      <w:r>
        <w:rPr>
          <w:rFonts w:ascii="Bookman Old Style" w:hAnsi="Bookman Old Style"/>
          <w:sz w:val="22"/>
          <w:szCs w:val="22"/>
          <w:lang w:eastAsia="en-US"/>
        </w:rPr>
        <w:t>el total importe invertido, que asciende a CUARENTA MIL VEINTISIETE EUROS CON NOVENTA Y CINCO CÉNTIMOS (</w:t>
      </w:r>
      <w:r w:rsidR="001C1E4D" w:rsidRPr="001C1E4D">
        <w:rPr>
          <w:rFonts w:ascii="Bookman Old Style" w:hAnsi="Bookman Old Style"/>
          <w:sz w:val="22"/>
          <w:szCs w:val="22"/>
          <w:lang w:eastAsia="en-US"/>
        </w:rPr>
        <w:t>40.027, 95</w:t>
      </w:r>
      <w:r w:rsidR="00960030" w:rsidRPr="00040027">
        <w:rPr>
          <w:rFonts w:ascii="Bookman Old Style" w:hAnsi="Bookman Old Style"/>
          <w:sz w:val="22"/>
          <w:szCs w:val="22"/>
          <w:lang w:eastAsia="en-US"/>
        </w:rPr>
        <w:t xml:space="preserve"> </w:t>
      </w:r>
      <w:r>
        <w:rPr>
          <w:rFonts w:ascii="Bookman Old Style" w:hAnsi="Bookman Old Style"/>
          <w:sz w:val="22"/>
          <w:szCs w:val="22"/>
          <w:lang w:eastAsia="en-US"/>
        </w:rPr>
        <w:t>€),</w:t>
      </w:r>
      <w:r w:rsidR="00960030" w:rsidRPr="00040027">
        <w:rPr>
          <w:rFonts w:ascii="Bookman Old Style" w:hAnsi="Bookman Old Style"/>
          <w:sz w:val="22"/>
          <w:szCs w:val="22"/>
          <w:lang w:eastAsia="en-US"/>
        </w:rPr>
        <w:t xml:space="preserve"> más </w:t>
      </w:r>
      <w:r w:rsidR="00464302">
        <w:rPr>
          <w:rFonts w:ascii="Bookman Old Style" w:hAnsi="Bookman Old Style"/>
          <w:sz w:val="22"/>
          <w:szCs w:val="22"/>
          <w:lang w:eastAsia="en-US"/>
        </w:rPr>
        <w:t xml:space="preserve">el interés legal desde el momento en que se </w:t>
      </w:r>
      <w:r>
        <w:rPr>
          <w:rFonts w:ascii="Bookman Old Style" w:hAnsi="Bookman Old Style"/>
          <w:sz w:val="22"/>
          <w:szCs w:val="22"/>
          <w:lang w:eastAsia="en-US"/>
        </w:rPr>
        <w:t>suscribieron</w:t>
      </w:r>
      <w:r w:rsidR="00464302">
        <w:rPr>
          <w:rFonts w:ascii="Bookman Old Style" w:hAnsi="Bookman Old Style"/>
          <w:sz w:val="22"/>
          <w:szCs w:val="22"/>
          <w:lang w:eastAsia="en-US"/>
        </w:rPr>
        <w:t xml:space="preserve"> las acciones, </w:t>
      </w:r>
      <w:r w:rsidR="007452D5">
        <w:rPr>
          <w:rFonts w:ascii="Bookman Old Style" w:hAnsi="Bookman Old Style"/>
          <w:sz w:val="22"/>
          <w:szCs w:val="22"/>
          <w:lang w:eastAsia="en-US"/>
        </w:rPr>
        <w:t>condenando a la entidad al pago de las costas del proceso.</w:t>
      </w:r>
    </w:p>
    <w:p w14:paraId="1F9ED4AF" w14:textId="3A679FDC" w:rsidR="006F315B" w:rsidRPr="00040027" w:rsidRDefault="006F315B" w:rsidP="00F732B7">
      <w:pPr>
        <w:spacing w:line="360" w:lineRule="auto"/>
        <w:ind w:left="0"/>
        <w:rPr>
          <w:rFonts w:ascii="Bookman Old Style" w:hAnsi="Bookman Old Style" w:cstheme="minorHAnsi"/>
          <w:b/>
          <w:bCs/>
          <w:sz w:val="22"/>
          <w:szCs w:val="22"/>
        </w:rPr>
      </w:pPr>
      <w:r w:rsidRPr="00040027">
        <w:rPr>
          <w:rFonts w:ascii="Bookman Old Style" w:hAnsi="Bookman Old Style" w:cstheme="minorHAnsi"/>
          <w:b/>
          <w:bCs/>
          <w:sz w:val="22"/>
          <w:szCs w:val="22"/>
        </w:rPr>
        <w:t>¿</w:t>
      </w:r>
      <w:r w:rsidR="00DC12F0">
        <w:rPr>
          <w:rFonts w:ascii="Bookman Old Style" w:hAnsi="Bookman Old Style" w:cstheme="minorHAnsi"/>
          <w:b/>
          <w:bCs/>
          <w:sz w:val="22"/>
          <w:szCs w:val="22"/>
        </w:rPr>
        <w:t xml:space="preserve">Tienen derecho a reclamar lo invertido </w:t>
      </w:r>
      <w:r w:rsidRPr="00040027">
        <w:rPr>
          <w:rFonts w:ascii="Bookman Old Style" w:hAnsi="Bookman Old Style" w:cstheme="minorHAnsi"/>
          <w:b/>
          <w:bCs/>
          <w:sz w:val="22"/>
          <w:szCs w:val="22"/>
        </w:rPr>
        <w:t>l</w:t>
      </w:r>
      <w:r w:rsidR="00AC5275">
        <w:rPr>
          <w:rFonts w:ascii="Bookman Old Style" w:hAnsi="Bookman Old Style" w:cstheme="minorHAnsi"/>
          <w:b/>
          <w:bCs/>
          <w:sz w:val="22"/>
          <w:szCs w:val="22"/>
        </w:rPr>
        <w:t>as empresas y los inversores cualificados</w:t>
      </w:r>
      <w:r w:rsidRPr="00040027">
        <w:rPr>
          <w:rFonts w:ascii="Bookman Old Style" w:hAnsi="Bookman Old Style" w:cstheme="minorHAnsi"/>
          <w:b/>
          <w:bCs/>
          <w:sz w:val="22"/>
          <w:szCs w:val="22"/>
        </w:rPr>
        <w:t>?</w:t>
      </w:r>
    </w:p>
    <w:p w14:paraId="4F5CFCE9" w14:textId="592C65B0" w:rsidR="00F732B7" w:rsidRDefault="00F732B7" w:rsidP="00F732B7">
      <w:pPr>
        <w:pStyle w:val="Prrafodelista"/>
        <w:spacing w:after="160" w:line="360" w:lineRule="auto"/>
        <w:ind w:left="0"/>
        <w:rPr>
          <w:rStyle w:val="Textoennegrita"/>
          <w:rFonts w:ascii="Bookman Old Style" w:hAnsi="Bookman Old Style" w:cstheme="minorHAnsi"/>
          <w:b w:val="0"/>
          <w:sz w:val="22"/>
          <w:szCs w:val="22"/>
          <w:bdr w:val="none" w:sz="0" w:space="0" w:color="auto" w:frame="1"/>
          <w:shd w:val="clear" w:color="auto" w:fill="FFFFFF"/>
        </w:rPr>
      </w:pPr>
      <w:r>
        <w:rPr>
          <w:rStyle w:val="Textoennegrita"/>
          <w:rFonts w:ascii="Bookman Old Style" w:hAnsi="Bookman Old Style" w:cstheme="minorHAnsi"/>
          <w:b w:val="0"/>
          <w:sz w:val="22"/>
          <w:szCs w:val="22"/>
          <w:bdr w:val="none" w:sz="0" w:space="0" w:color="auto" w:frame="1"/>
          <w:shd w:val="clear" w:color="auto" w:fill="FFFFFF"/>
        </w:rPr>
        <w:t xml:space="preserve">La doctrina </w:t>
      </w:r>
      <w:r w:rsidR="006F315B" w:rsidRPr="00040027">
        <w:rPr>
          <w:rStyle w:val="Textoennegrita"/>
          <w:rFonts w:ascii="Bookman Old Style" w:hAnsi="Bookman Old Style" w:cstheme="minorHAnsi"/>
          <w:b w:val="0"/>
          <w:sz w:val="22"/>
          <w:szCs w:val="22"/>
          <w:bdr w:val="none" w:sz="0" w:space="0" w:color="auto" w:frame="1"/>
          <w:shd w:val="clear" w:color="auto" w:fill="FFFFFF"/>
        </w:rPr>
        <w:t>del Tribunal Supremo en su Sentencia número 24/2016 dictada el día 3 de febrero de 2016</w:t>
      </w:r>
      <w:r>
        <w:rPr>
          <w:rStyle w:val="Textoennegrita"/>
          <w:rFonts w:ascii="Bookman Old Style" w:hAnsi="Bookman Old Style" w:cstheme="minorHAnsi"/>
          <w:b w:val="0"/>
          <w:sz w:val="22"/>
          <w:szCs w:val="22"/>
          <w:bdr w:val="none" w:sz="0" w:space="0" w:color="auto" w:frame="1"/>
          <w:shd w:val="clear" w:color="auto" w:fill="FFFFFF"/>
        </w:rPr>
        <w:t xml:space="preserve"> (relativa al caso de BANKIA)</w:t>
      </w:r>
      <w:r w:rsidR="006F315B" w:rsidRPr="00040027">
        <w:rPr>
          <w:rStyle w:val="Textoennegrita"/>
          <w:rFonts w:ascii="Bookman Old Style" w:hAnsi="Bookman Old Style" w:cstheme="minorHAnsi"/>
          <w:b w:val="0"/>
          <w:sz w:val="22"/>
          <w:szCs w:val="22"/>
          <w:bdr w:val="none" w:sz="0" w:space="0" w:color="auto" w:frame="1"/>
          <w:shd w:val="clear" w:color="auto" w:fill="FFFFFF"/>
        </w:rPr>
        <w:t xml:space="preserve"> establece </w:t>
      </w:r>
      <w:r w:rsidR="00235950">
        <w:rPr>
          <w:rStyle w:val="Textoennegrita"/>
          <w:rFonts w:ascii="Bookman Old Style" w:hAnsi="Bookman Old Style" w:cstheme="minorHAnsi"/>
          <w:b w:val="0"/>
          <w:sz w:val="22"/>
          <w:szCs w:val="22"/>
          <w:bdr w:val="none" w:sz="0" w:space="0" w:color="auto" w:frame="1"/>
          <w:shd w:val="clear" w:color="auto" w:fill="FFFFFF"/>
        </w:rPr>
        <w:t xml:space="preserve">la importancia del folleto informativo y valora las consecuencias de sus inexactitudes, </w:t>
      </w:r>
      <w:r>
        <w:rPr>
          <w:rStyle w:val="Textoennegrita"/>
          <w:rFonts w:ascii="Bookman Old Style" w:hAnsi="Bookman Old Style" w:cstheme="minorHAnsi"/>
          <w:b w:val="0"/>
          <w:sz w:val="22"/>
          <w:szCs w:val="22"/>
          <w:bdr w:val="none" w:sz="0" w:space="0" w:color="auto" w:frame="1"/>
          <w:shd w:val="clear" w:color="auto" w:fill="FFFFFF"/>
        </w:rPr>
        <w:t>estableciendo</w:t>
      </w:r>
      <w:r w:rsidR="006F315B" w:rsidRPr="00040027">
        <w:rPr>
          <w:rStyle w:val="Textoennegrita"/>
          <w:rFonts w:ascii="Bookman Old Style" w:hAnsi="Bookman Old Style" w:cstheme="minorHAnsi"/>
          <w:b w:val="0"/>
          <w:sz w:val="22"/>
          <w:szCs w:val="22"/>
          <w:bdr w:val="none" w:sz="0" w:space="0" w:color="auto" w:frame="1"/>
          <w:shd w:val="clear" w:color="auto" w:fill="FFFFFF"/>
        </w:rPr>
        <w:t xml:space="preserve">: </w:t>
      </w:r>
    </w:p>
    <w:p w14:paraId="0C4C1A79" w14:textId="77777777" w:rsidR="00F732B7" w:rsidRDefault="00F732B7" w:rsidP="00F732B7">
      <w:pPr>
        <w:pStyle w:val="Prrafodelista"/>
        <w:spacing w:after="160" w:line="360" w:lineRule="auto"/>
        <w:ind w:left="0"/>
        <w:rPr>
          <w:rStyle w:val="Textoennegrita"/>
          <w:rFonts w:ascii="Bookman Old Style" w:hAnsi="Bookman Old Style" w:cstheme="minorHAnsi"/>
          <w:b w:val="0"/>
          <w:sz w:val="22"/>
          <w:szCs w:val="22"/>
          <w:bdr w:val="none" w:sz="0" w:space="0" w:color="auto" w:frame="1"/>
          <w:shd w:val="clear" w:color="auto" w:fill="FFFFFF"/>
        </w:rPr>
      </w:pPr>
    </w:p>
    <w:p w14:paraId="0303811A" w14:textId="3D5F4E50" w:rsidR="006F315B" w:rsidRPr="00040027" w:rsidRDefault="006F315B" w:rsidP="00F732B7">
      <w:pPr>
        <w:pStyle w:val="Prrafodelista"/>
        <w:spacing w:after="160" w:line="360" w:lineRule="auto"/>
        <w:ind w:left="0"/>
        <w:rPr>
          <w:rStyle w:val="Textoennegrita"/>
          <w:rFonts w:ascii="Bookman Old Style" w:hAnsi="Bookman Old Style" w:cstheme="minorHAnsi"/>
          <w:b w:val="0"/>
          <w:i/>
          <w:sz w:val="22"/>
          <w:szCs w:val="22"/>
          <w:bdr w:val="none" w:sz="0" w:space="0" w:color="auto" w:frame="1"/>
          <w:shd w:val="clear" w:color="auto" w:fill="FFFFFF"/>
        </w:rPr>
      </w:pPr>
      <w:r w:rsidRPr="00040027">
        <w:rPr>
          <w:rStyle w:val="Textoennegrita"/>
          <w:rFonts w:ascii="Bookman Old Style" w:hAnsi="Bookman Old Style" w:cstheme="minorHAnsi"/>
          <w:b w:val="0"/>
          <w:i/>
          <w:sz w:val="22"/>
          <w:szCs w:val="22"/>
          <w:bdr w:val="none" w:sz="0" w:space="0" w:color="auto" w:frame="1"/>
          <w:shd w:val="clear" w:color="auto" w:fill="FFFFFF"/>
        </w:rPr>
        <w:t xml:space="preserve">“El folleto que exige la normativa sobre el mercado de valores en los supuestos de ofertas públicas de suscripción de acciones como la formulada por Bankia (arts. 26 y siguientes de la Ley de Mercado de  Valores y 16 siguientes del Real Decreto 1310/2005, de 4 de noviembre) </w:t>
      </w:r>
      <w:r w:rsidRPr="00321725">
        <w:rPr>
          <w:rStyle w:val="Textoennegrita"/>
          <w:rFonts w:ascii="Bookman Old Style" w:hAnsi="Bookman Old Style" w:cstheme="minorHAnsi"/>
          <w:bCs w:val="0"/>
          <w:i/>
          <w:sz w:val="22"/>
          <w:szCs w:val="22"/>
          <w:bdr w:val="none" w:sz="0" w:space="0" w:color="auto" w:frame="1"/>
          <w:shd w:val="clear" w:color="auto" w:fill="FFFFFF"/>
        </w:rPr>
        <w:t xml:space="preserve">tiene por finalidad justamente informar a los potenciales inversores sobre la conveniencia de suscribir las acciones que se ofertan, por tener la sociedad una saneada situación patrimonial </w:t>
      </w:r>
      <w:r w:rsidRPr="00321725">
        <w:rPr>
          <w:rStyle w:val="Textoennegrita"/>
          <w:rFonts w:ascii="Bookman Old Style" w:hAnsi="Bookman Old Style" w:cstheme="minorHAnsi"/>
          <w:bCs w:val="0"/>
          <w:i/>
          <w:sz w:val="22"/>
          <w:szCs w:val="22"/>
          <w:bdr w:val="none" w:sz="0" w:space="0" w:color="auto" w:frame="1"/>
          <w:shd w:val="clear" w:color="auto" w:fill="FFFFFF"/>
        </w:rPr>
        <w:lastRenderedPageBreak/>
        <w:t>y financiera y una expectativa fundada de obtener beneficios</w:t>
      </w:r>
      <w:r w:rsidRPr="00040027">
        <w:rPr>
          <w:rStyle w:val="Textoennegrita"/>
          <w:rFonts w:ascii="Bookman Old Style" w:hAnsi="Bookman Old Style" w:cstheme="minorHAnsi"/>
          <w:b w:val="0"/>
          <w:i/>
          <w:sz w:val="22"/>
          <w:szCs w:val="22"/>
          <w:bdr w:val="none" w:sz="0" w:space="0" w:color="auto" w:frame="1"/>
          <w:shd w:val="clear" w:color="auto" w:fill="FFFFFF"/>
        </w:rPr>
        <w:t>, para que puedan formar su consentimiento con conocimiento de los elementos esenciales y los riesgos”.</w:t>
      </w:r>
    </w:p>
    <w:p w14:paraId="73E19CB5" w14:textId="77777777" w:rsidR="00F732B7" w:rsidRDefault="00F732B7" w:rsidP="00F732B7">
      <w:pPr>
        <w:pStyle w:val="Prrafodelista"/>
        <w:spacing w:after="160" w:line="360" w:lineRule="auto"/>
        <w:ind w:left="0"/>
        <w:rPr>
          <w:rStyle w:val="Textoennegrita"/>
          <w:rFonts w:ascii="Bookman Old Style" w:hAnsi="Bookman Old Style" w:cstheme="minorHAnsi"/>
          <w:b w:val="0"/>
          <w:sz w:val="22"/>
          <w:szCs w:val="22"/>
          <w:bdr w:val="none" w:sz="0" w:space="0" w:color="auto" w:frame="1"/>
          <w:shd w:val="clear" w:color="auto" w:fill="FFFFFF"/>
        </w:rPr>
      </w:pPr>
    </w:p>
    <w:p w14:paraId="1C5F9268" w14:textId="7876259C" w:rsidR="00040027" w:rsidRPr="00040027" w:rsidRDefault="00F732B7" w:rsidP="00F732B7">
      <w:pPr>
        <w:pStyle w:val="Prrafodelista"/>
        <w:spacing w:after="160" w:line="360" w:lineRule="auto"/>
        <w:ind w:left="0"/>
        <w:rPr>
          <w:rStyle w:val="Textoennegrita"/>
          <w:rFonts w:ascii="Bookman Old Style" w:hAnsi="Bookman Old Style" w:cstheme="minorHAnsi"/>
          <w:b w:val="0"/>
          <w:sz w:val="22"/>
          <w:szCs w:val="22"/>
          <w:bdr w:val="none" w:sz="0" w:space="0" w:color="auto" w:frame="1"/>
          <w:shd w:val="clear" w:color="auto" w:fill="FFFFFF"/>
        </w:rPr>
      </w:pPr>
      <w:r>
        <w:rPr>
          <w:rStyle w:val="Textoennegrita"/>
          <w:rFonts w:ascii="Bookman Old Style" w:hAnsi="Bookman Old Style" w:cstheme="minorHAnsi"/>
          <w:b w:val="0"/>
          <w:sz w:val="22"/>
          <w:szCs w:val="22"/>
          <w:bdr w:val="none" w:sz="0" w:space="0" w:color="auto" w:frame="1"/>
          <w:shd w:val="clear" w:color="auto" w:fill="FFFFFF"/>
        </w:rPr>
        <w:t xml:space="preserve">Y la doctrina del Tribunal Supremo determina que: </w:t>
      </w:r>
      <w:r w:rsidR="00040027" w:rsidRPr="00F732B7">
        <w:rPr>
          <w:rStyle w:val="Textoennegrita"/>
          <w:rFonts w:ascii="Bookman Old Style" w:hAnsi="Bookman Old Style" w:cstheme="minorHAnsi"/>
          <w:bCs w:val="0"/>
          <w:sz w:val="22"/>
          <w:szCs w:val="22"/>
          <w:bdr w:val="none" w:sz="0" w:space="0" w:color="auto" w:frame="1"/>
          <w:shd w:val="clear" w:color="auto" w:fill="FFFFFF"/>
        </w:rPr>
        <w:t>existe un nexo de causalidad entre el contenido del folleto informativo</w:t>
      </w:r>
      <w:r w:rsidRPr="00F732B7">
        <w:rPr>
          <w:rStyle w:val="Textoennegrita"/>
          <w:rFonts w:ascii="Bookman Old Style" w:hAnsi="Bookman Old Style" w:cstheme="minorHAnsi"/>
          <w:bCs w:val="0"/>
          <w:sz w:val="22"/>
          <w:szCs w:val="22"/>
          <w:bdr w:val="none" w:sz="0" w:space="0" w:color="auto" w:frame="1"/>
          <w:shd w:val="clear" w:color="auto" w:fill="FFFFFF"/>
        </w:rPr>
        <w:t xml:space="preserve"> (de sus inexactitudes)</w:t>
      </w:r>
      <w:r w:rsidR="00040027" w:rsidRPr="00F732B7">
        <w:rPr>
          <w:rStyle w:val="Textoennegrita"/>
          <w:rFonts w:ascii="Bookman Old Style" w:hAnsi="Bookman Old Style" w:cstheme="minorHAnsi"/>
          <w:bCs w:val="0"/>
          <w:sz w:val="22"/>
          <w:szCs w:val="22"/>
          <w:bdr w:val="none" w:sz="0" w:space="0" w:color="auto" w:frame="1"/>
          <w:shd w:val="clear" w:color="auto" w:fill="FFFFFF"/>
        </w:rPr>
        <w:t xml:space="preserve"> y la decisión de inversión con los daños y perjuicios </w:t>
      </w:r>
      <w:r w:rsidRPr="00F732B7">
        <w:rPr>
          <w:rStyle w:val="Textoennegrita"/>
          <w:rFonts w:ascii="Bookman Old Style" w:hAnsi="Bookman Old Style" w:cstheme="minorHAnsi"/>
          <w:bCs w:val="0"/>
          <w:sz w:val="22"/>
          <w:szCs w:val="22"/>
          <w:bdr w:val="none" w:sz="0" w:space="0" w:color="auto" w:frame="1"/>
          <w:shd w:val="clear" w:color="auto" w:fill="FFFFFF"/>
        </w:rPr>
        <w:t xml:space="preserve">ocasionados siempre que el inversor no haya tenido acceso a una fuente de información adicional, o que no haya habido ninguna oposición frente a la información proporcionada por algún organismo de control o supervisión competente. </w:t>
      </w:r>
    </w:p>
    <w:p w14:paraId="7A227783" w14:textId="77777777" w:rsidR="00F732B7" w:rsidRDefault="00F732B7" w:rsidP="00F732B7">
      <w:pPr>
        <w:pStyle w:val="NormalWeb"/>
        <w:shd w:val="clear" w:color="auto" w:fill="FFFFFF"/>
        <w:spacing w:before="0" w:beforeAutospacing="0" w:after="0" w:afterAutospacing="0" w:line="360" w:lineRule="auto"/>
        <w:jc w:val="both"/>
        <w:textAlignment w:val="baseline"/>
        <w:rPr>
          <w:rStyle w:val="txt-anpliado"/>
          <w:rFonts w:ascii="Bookman Old Style" w:hAnsi="Bookman Old Style" w:cstheme="minorHAnsi"/>
          <w:sz w:val="22"/>
          <w:szCs w:val="22"/>
          <w:bdr w:val="none" w:sz="0" w:space="0" w:color="auto" w:frame="1"/>
          <w:lang w:val="es-ES_tradnl"/>
        </w:rPr>
      </w:pPr>
      <w:r>
        <w:rPr>
          <w:rStyle w:val="txt-anpliado"/>
          <w:rFonts w:ascii="Bookman Old Style" w:hAnsi="Bookman Old Style" w:cstheme="minorHAnsi"/>
          <w:sz w:val="22"/>
          <w:szCs w:val="22"/>
          <w:bdr w:val="none" w:sz="0" w:space="0" w:color="auto" w:frame="1"/>
          <w:lang w:val="es-ES_tradnl"/>
        </w:rPr>
        <w:t>La clave de la doctrina del Tribunal Supremo está en lo siguiente:</w:t>
      </w:r>
    </w:p>
    <w:p w14:paraId="60300F6B" w14:textId="77777777" w:rsidR="00F732B7" w:rsidRDefault="00F732B7" w:rsidP="00F732B7">
      <w:pPr>
        <w:pStyle w:val="NormalWeb"/>
        <w:shd w:val="clear" w:color="auto" w:fill="FFFFFF"/>
        <w:spacing w:before="0" w:beforeAutospacing="0" w:after="0" w:afterAutospacing="0" w:line="360" w:lineRule="auto"/>
        <w:jc w:val="both"/>
        <w:textAlignment w:val="baseline"/>
        <w:rPr>
          <w:rStyle w:val="txt-anpliado"/>
          <w:rFonts w:ascii="Bookman Old Style" w:hAnsi="Bookman Old Style" w:cstheme="minorHAnsi"/>
          <w:sz w:val="22"/>
          <w:szCs w:val="22"/>
          <w:bdr w:val="none" w:sz="0" w:space="0" w:color="auto" w:frame="1"/>
        </w:rPr>
      </w:pPr>
    </w:p>
    <w:p w14:paraId="447D0A54" w14:textId="30C3BCD5" w:rsidR="006F315B" w:rsidRPr="00F732B7" w:rsidRDefault="006F315B" w:rsidP="00F732B7">
      <w:pPr>
        <w:pStyle w:val="NormalWeb"/>
        <w:shd w:val="clear" w:color="auto" w:fill="FFFFFF"/>
        <w:spacing w:before="0" w:beforeAutospacing="0" w:after="0" w:afterAutospacing="0" w:line="360" w:lineRule="auto"/>
        <w:jc w:val="both"/>
        <w:textAlignment w:val="baseline"/>
        <w:rPr>
          <w:rStyle w:val="txt-anpliado"/>
          <w:rFonts w:ascii="Bookman Old Style" w:hAnsi="Bookman Old Style" w:cstheme="minorHAnsi"/>
          <w:b/>
          <w:bCs/>
          <w:i/>
          <w:iCs/>
          <w:sz w:val="22"/>
          <w:szCs w:val="22"/>
          <w:bdr w:val="none" w:sz="0" w:space="0" w:color="auto" w:frame="1"/>
        </w:rPr>
      </w:pPr>
      <w:r w:rsidRPr="00F732B7">
        <w:rPr>
          <w:rStyle w:val="txt-anpliado"/>
          <w:rFonts w:ascii="Bookman Old Style" w:hAnsi="Bookman Old Style" w:cstheme="minorHAnsi"/>
          <w:b/>
          <w:bCs/>
          <w:i/>
          <w:iCs/>
          <w:sz w:val="22"/>
          <w:szCs w:val="22"/>
          <w:bdr w:val="none" w:sz="0" w:space="0" w:color="auto" w:frame="1"/>
        </w:rPr>
        <w:t>“</w:t>
      </w:r>
      <w:r w:rsidRPr="00F732B7">
        <w:rPr>
          <w:rStyle w:val="nfasis"/>
          <w:rFonts w:ascii="Bookman Old Style" w:hAnsi="Bookman Old Style" w:cstheme="minorHAnsi"/>
          <w:b/>
          <w:bCs/>
          <w:i w:val="0"/>
          <w:iCs w:val="0"/>
          <w:sz w:val="22"/>
          <w:szCs w:val="22"/>
          <w:bdr w:val="none" w:sz="0" w:space="0" w:color="auto" w:frame="1"/>
        </w:rPr>
        <w:t>La cualidad de pequeños inversores que tienen los demandantes hace que este error deba considerarse excusable, pues, a diferencia de lo que puede ocurrir con otros inversores más cualificados, carecen de otros medios de obtener información sobre los datos económicos que afectan a la sociedad cuyas acciones salen a cotización y que son relevantes para tomar la decisión inversora.</w:t>
      </w:r>
      <w:r w:rsidRPr="00F732B7">
        <w:rPr>
          <w:rStyle w:val="txt-anpliado"/>
          <w:rFonts w:ascii="Bookman Old Style" w:hAnsi="Bookman Old Style" w:cstheme="minorHAnsi"/>
          <w:b/>
          <w:bCs/>
          <w:i/>
          <w:iCs/>
          <w:sz w:val="22"/>
          <w:szCs w:val="22"/>
          <w:bdr w:val="none" w:sz="0" w:space="0" w:color="auto" w:frame="1"/>
        </w:rPr>
        <w:t>”</w:t>
      </w:r>
    </w:p>
    <w:p w14:paraId="2C1F8267" w14:textId="77777777" w:rsidR="00602352" w:rsidRDefault="00602352" w:rsidP="00692BE5">
      <w:pPr>
        <w:pStyle w:val="NormalWeb"/>
        <w:shd w:val="clear" w:color="auto" w:fill="FFFFFF"/>
        <w:spacing w:before="0" w:beforeAutospacing="0" w:after="0" w:afterAutospacing="0" w:line="360" w:lineRule="auto"/>
        <w:ind w:firstLine="284"/>
        <w:jc w:val="both"/>
        <w:textAlignment w:val="baseline"/>
        <w:rPr>
          <w:rStyle w:val="txt-anpliado"/>
          <w:rFonts w:ascii="Bookman Old Style" w:hAnsi="Bookman Old Style" w:cstheme="minorHAnsi"/>
          <w:b/>
          <w:bCs/>
          <w:i/>
          <w:iCs/>
          <w:sz w:val="22"/>
          <w:szCs w:val="22"/>
          <w:bdr w:val="none" w:sz="0" w:space="0" w:color="auto" w:frame="1"/>
        </w:rPr>
      </w:pPr>
    </w:p>
    <w:p w14:paraId="7A0AC49F" w14:textId="77777777" w:rsidR="001878F0" w:rsidRDefault="006C6C02" w:rsidP="00602352">
      <w:pPr>
        <w:pStyle w:val="NormalWeb"/>
        <w:shd w:val="clear" w:color="auto" w:fill="FFFFFF"/>
        <w:spacing w:before="0" w:beforeAutospacing="0" w:after="0" w:afterAutospacing="0" w:line="360" w:lineRule="auto"/>
        <w:jc w:val="both"/>
        <w:textAlignment w:val="baseline"/>
        <w:rPr>
          <w:rStyle w:val="txt-anpliado"/>
          <w:rFonts w:ascii="Bookman Old Style" w:hAnsi="Bookman Old Style" w:cstheme="minorHAnsi"/>
          <w:color w:val="0070C0"/>
          <w:sz w:val="22"/>
          <w:szCs w:val="22"/>
          <w:bdr w:val="none" w:sz="0" w:space="0" w:color="auto" w:frame="1"/>
        </w:rPr>
      </w:pPr>
      <w:r w:rsidRPr="001878F0">
        <w:rPr>
          <w:rStyle w:val="txt-anpliado"/>
          <w:rFonts w:ascii="Bookman Old Style" w:hAnsi="Bookman Old Style" w:cstheme="minorHAnsi"/>
          <w:color w:val="0070C0"/>
          <w:sz w:val="22"/>
          <w:szCs w:val="22"/>
          <w:bdr w:val="none" w:sz="0" w:space="0" w:color="auto" w:frame="1"/>
        </w:rPr>
        <w:t>Por tanto, el Tribunal Supremo no dice que todos los inversores cualificados</w:t>
      </w:r>
      <w:r w:rsidR="00006E16" w:rsidRPr="001878F0">
        <w:rPr>
          <w:rStyle w:val="txt-anpliado"/>
          <w:rFonts w:ascii="Bookman Old Style" w:hAnsi="Bookman Old Style" w:cstheme="minorHAnsi"/>
          <w:color w:val="0070C0"/>
          <w:sz w:val="22"/>
          <w:szCs w:val="22"/>
          <w:bdr w:val="none" w:sz="0" w:space="0" w:color="auto" w:frame="1"/>
        </w:rPr>
        <w:t xml:space="preserve"> tengan acceso a otros medios de información sobre la situación financiera del emisor diferentes al folleto, sino que</w:t>
      </w:r>
      <w:r w:rsidR="00006E16" w:rsidRPr="001878F0">
        <w:rPr>
          <w:rStyle w:val="txt-anpliado"/>
          <w:rFonts w:ascii="Bookman Old Style" w:hAnsi="Bookman Old Style" w:cstheme="minorHAnsi"/>
          <w:b/>
          <w:bCs/>
          <w:color w:val="0070C0"/>
          <w:sz w:val="22"/>
          <w:szCs w:val="22"/>
          <w:bdr w:val="none" w:sz="0" w:space="0" w:color="auto" w:frame="1"/>
        </w:rPr>
        <w:t xml:space="preserve"> pueden </w:t>
      </w:r>
      <w:r w:rsidR="00006E16" w:rsidRPr="001878F0">
        <w:rPr>
          <w:rStyle w:val="txt-anpliado"/>
          <w:rFonts w:ascii="Bookman Old Style" w:hAnsi="Bookman Old Style" w:cstheme="minorHAnsi"/>
          <w:color w:val="0070C0"/>
          <w:sz w:val="22"/>
          <w:szCs w:val="22"/>
          <w:bdr w:val="none" w:sz="0" w:space="0" w:color="auto" w:frame="1"/>
        </w:rPr>
        <w:t>tenerlos.</w:t>
      </w:r>
      <w:r w:rsidR="00602352" w:rsidRPr="001878F0">
        <w:rPr>
          <w:rStyle w:val="txt-anpliado"/>
          <w:rFonts w:ascii="Bookman Old Style" w:hAnsi="Bookman Old Style" w:cstheme="minorHAnsi"/>
          <w:color w:val="0070C0"/>
          <w:sz w:val="22"/>
          <w:szCs w:val="22"/>
          <w:bdr w:val="none" w:sz="0" w:space="0" w:color="auto" w:frame="1"/>
        </w:rPr>
        <w:t xml:space="preserve"> </w:t>
      </w:r>
    </w:p>
    <w:p w14:paraId="6D1F2570" w14:textId="77777777" w:rsidR="0099769C" w:rsidRPr="0099769C" w:rsidRDefault="0099769C" w:rsidP="0099769C">
      <w:pPr>
        <w:pStyle w:val="Prrafodelista"/>
        <w:spacing w:line="360" w:lineRule="auto"/>
        <w:ind w:left="0" w:firstLine="284"/>
        <w:rPr>
          <w:rStyle w:val="txt-anpliado"/>
          <w:rFonts w:ascii="Bookman Old Style" w:hAnsi="Bookman Old Style" w:cstheme="minorHAnsi"/>
          <w:bCs/>
          <w:color w:val="0070C0"/>
          <w:sz w:val="22"/>
          <w:szCs w:val="22"/>
          <w:bdr w:val="none" w:sz="0" w:space="0" w:color="auto" w:frame="1"/>
        </w:rPr>
      </w:pPr>
    </w:p>
    <w:p w14:paraId="42F0E6EF" w14:textId="7455E428" w:rsidR="0099769C" w:rsidRPr="0099769C" w:rsidRDefault="0099769C" w:rsidP="0099769C">
      <w:pPr>
        <w:pStyle w:val="Prrafodelista"/>
        <w:spacing w:line="360" w:lineRule="auto"/>
        <w:ind w:left="0"/>
        <w:rPr>
          <w:rStyle w:val="txt-anpliado"/>
          <w:rFonts w:ascii="Bookman Old Style" w:hAnsi="Bookman Old Style" w:cstheme="minorHAnsi"/>
          <w:bCs/>
          <w:color w:val="0070C0"/>
          <w:sz w:val="22"/>
          <w:szCs w:val="22"/>
          <w:bdr w:val="none" w:sz="0" w:space="0" w:color="auto" w:frame="1"/>
        </w:rPr>
      </w:pPr>
      <w:r w:rsidRPr="0099769C">
        <w:rPr>
          <w:rStyle w:val="txt-anpliado"/>
          <w:rFonts w:ascii="Bookman Old Style" w:hAnsi="Bookman Old Style" w:cstheme="minorHAnsi"/>
          <w:bCs/>
          <w:color w:val="0070C0"/>
          <w:sz w:val="22"/>
          <w:szCs w:val="22"/>
          <w:bdr w:val="none" w:sz="0" w:space="0" w:color="auto" w:frame="1"/>
        </w:rPr>
        <w:t xml:space="preserve">Lo cierto es que </w:t>
      </w:r>
      <w:r>
        <w:rPr>
          <w:rStyle w:val="txt-anpliado"/>
          <w:rFonts w:ascii="Bookman Old Style" w:hAnsi="Bookman Old Style" w:cstheme="minorHAnsi"/>
          <w:bCs/>
          <w:color w:val="0070C0"/>
          <w:sz w:val="22"/>
          <w:szCs w:val="22"/>
          <w:bdr w:val="none" w:sz="0" w:space="0" w:color="auto" w:frame="1"/>
        </w:rPr>
        <w:t>la mayoría de</w:t>
      </w:r>
      <w:r w:rsidRPr="0099769C">
        <w:rPr>
          <w:rStyle w:val="txt-anpliado"/>
          <w:rFonts w:ascii="Bookman Old Style" w:hAnsi="Bookman Old Style" w:cstheme="minorHAnsi"/>
          <w:bCs/>
          <w:color w:val="0070C0"/>
          <w:sz w:val="22"/>
          <w:szCs w:val="22"/>
          <w:bdr w:val="none" w:sz="0" w:space="0" w:color="auto" w:frame="1"/>
        </w:rPr>
        <w:t xml:space="preserve"> grandes inversores, empresas y consumidores manejaban la misma información errónea y por lo tanto tienen derecho a reclamar su inversión en acciones de Banco Popular S.A.</w:t>
      </w:r>
    </w:p>
    <w:p w14:paraId="2ED8349E" w14:textId="77777777" w:rsidR="0099769C" w:rsidRPr="0099769C" w:rsidRDefault="0099769C" w:rsidP="0099769C">
      <w:pPr>
        <w:pStyle w:val="Prrafodelista"/>
        <w:spacing w:line="360" w:lineRule="auto"/>
        <w:ind w:left="0"/>
        <w:rPr>
          <w:rStyle w:val="txt-anpliado"/>
          <w:rFonts w:ascii="Bookman Old Style" w:hAnsi="Bookman Old Style" w:cstheme="minorHAnsi"/>
          <w:b/>
          <w:color w:val="0070C0"/>
          <w:sz w:val="22"/>
          <w:szCs w:val="22"/>
          <w:bdr w:val="none" w:sz="0" w:space="0" w:color="auto" w:frame="1"/>
        </w:rPr>
      </w:pPr>
    </w:p>
    <w:p w14:paraId="37676A6A" w14:textId="3B9A7DFD" w:rsidR="0099769C" w:rsidRPr="0099769C" w:rsidRDefault="00575ADA" w:rsidP="0099769C">
      <w:pPr>
        <w:pStyle w:val="Prrafodelista"/>
        <w:spacing w:line="360" w:lineRule="auto"/>
        <w:ind w:left="0"/>
        <w:rPr>
          <w:rStyle w:val="txt-anpliado"/>
          <w:rFonts w:ascii="Bookman Old Style" w:hAnsi="Bookman Old Style" w:cstheme="minorHAnsi"/>
          <w:color w:val="0070C0"/>
          <w:sz w:val="22"/>
          <w:szCs w:val="22"/>
          <w:bdr w:val="none" w:sz="0" w:space="0" w:color="auto" w:frame="1"/>
        </w:rPr>
      </w:pPr>
      <w:r>
        <w:rPr>
          <w:rStyle w:val="txt-anpliado"/>
          <w:rFonts w:ascii="Bookman Old Style" w:hAnsi="Bookman Old Style" w:cstheme="minorHAnsi"/>
          <w:color w:val="0070C0"/>
          <w:sz w:val="22"/>
          <w:szCs w:val="22"/>
          <w:bdr w:val="none" w:sz="0" w:space="0" w:color="auto" w:frame="1"/>
        </w:rPr>
        <w:t>S</w:t>
      </w:r>
      <w:bookmarkStart w:id="0" w:name="_GoBack"/>
      <w:bookmarkEnd w:id="0"/>
      <w:r w:rsidR="0099769C" w:rsidRPr="0099769C">
        <w:rPr>
          <w:rStyle w:val="txt-anpliado"/>
          <w:rFonts w:ascii="Bookman Old Style" w:hAnsi="Bookman Old Style" w:cstheme="minorHAnsi"/>
          <w:color w:val="0070C0"/>
          <w:sz w:val="22"/>
          <w:szCs w:val="22"/>
          <w:bdr w:val="none" w:sz="0" w:space="0" w:color="auto" w:frame="1"/>
        </w:rPr>
        <w:t>e abre la vía para que aquellas empresas e inversores institucionales que no tuvieron información adicional a la proporcionada en el folleto puedan recuperar todo lo invertido en las acciones de Banco Popular S.A. así como los intereses legales desde la fecha del contrato.</w:t>
      </w:r>
    </w:p>
    <w:p w14:paraId="6DBED76F" w14:textId="64A9034F" w:rsidR="001878F0" w:rsidRPr="0099769C" w:rsidRDefault="001878F0" w:rsidP="00602352">
      <w:pPr>
        <w:pStyle w:val="NormalWeb"/>
        <w:shd w:val="clear" w:color="auto" w:fill="FFFFFF"/>
        <w:spacing w:before="0" w:beforeAutospacing="0" w:after="0" w:afterAutospacing="0" w:line="360" w:lineRule="auto"/>
        <w:jc w:val="both"/>
        <w:textAlignment w:val="baseline"/>
        <w:rPr>
          <w:rStyle w:val="txt-anpliado"/>
          <w:rFonts w:ascii="Bookman Old Style" w:hAnsi="Bookman Old Style" w:cstheme="minorHAnsi"/>
          <w:color w:val="0070C0"/>
          <w:sz w:val="22"/>
          <w:szCs w:val="22"/>
          <w:bdr w:val="none" w:sz="0" w:space="0" w:color="auto" w:frame="1"/>
          <w:lang w:val="es-ES_tradnl"/>
        </w:rPr>
      </w:pPr>
    </w:p>
    <w:sectPr w:rsidR="001878F0" w:rsidRPr="0099769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449C" w14:textId="77777777" w:rsidR="00D32858" w:rsidRDefault="00D32858" w:rsidP="00040027">
      <w:pPr>
        <w:spacing w:after="0"/>
      </w:pPr>
      <w:r>
        <w:separator/>
      </w:r>
    </w:p>
  </w:endnote>
  <w:endnote w:type="continuationSeparator" w:id="0">
    <w:p w14:paraId="3CEB86A3" w14:textId="77777777" w:rsidR="00D32858" w:rsidRDefault="00D32858" w:rsidP="00040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8F5A" w14:textId="77777777" w:rsidR="00040027" w:rsidRDefault="00040027">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3E5E5FF0" w14:textId="77777777" w:rsidR="00040027" w:rsidRDefault="000400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4E48" w14:textId="77777777" w:rsidR="00D32858" w:rsidRDefault="00D32858" w:rsidP="00040027">
      <w:pPr>
        <w:spacing w:after="0"/>
      </w:pPr>
      <w:r>
        <w:separator/>
      </w:r>
    </w:p>
  </w:footnote>
  <w:footnote w:type="continuationSeparator" w:id="0">
    <w:p w14:paraId="65794985" w14:textId="77777777" w:rsidR="00D32858" w:rsidRDefault="00D32858" w:rsidP="000400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E17"/>
    <w:multiLevelType w:val="hybridMultilevel"/>
    <w:tmpl w:val="86E0DA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4F4ADA"/>
    <w:multiLevelType w:val="hybridMultilevel"/>
    <w:tmpl w:val="669CCC18"/>
    <w:lvl w:ilvl="0" w:tplc="A83A37A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43DA42BA"/>
    <w:multiLevelType w:val="hybridMultilevel"/>
    <w:tmpl w:val="3CA62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9C4577"/>
    <w:multiLevelType w:val="hybridMultilevel"/>
    <w:tmpl w:val="3B4C3C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C15D8C"/>
    <w:multiLevelType w:val="hybridMultilevel"/>
    <w:tmpl w:val="1DDE2E80"/>
    <w:lvl w:ilvl="0" w:tplc="0C0A000D">
      <w:start w:val="1"/>
      <w:numFmt w:val="bullet"/>
      <w:lvlText w:val=""/>
      <w:lvlJc w:val="left"/>
      <w:pPr>
        <w:ind w:left="2204" w:hanging="360"/>
      </w:pPr>
      <w:rPr>
        <w:rFonts w:ascii="Wingdings" w:hAnsi="Wingdings"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30"/>
    <w:rsid w:val="00006E16"/>
    <w:rsid w:val="00022334"/>
    <w:rsid w:val="0002619E"/>
    <w:rsid w:val="00040027"/>
    <w:rsid w:val="000626E0"/>
    <w:rsid w:val="00071D2F"/>
    <w:rsid w:val="000A1A58"/>
    <w:rsid w:val="000C5759"/>
    <w:rsid w:val="000D3A8B"/>
    <w:rsid w:val="000D5098"/>
    <w:rsid w:val="00100D51"/>
    <w:rsid w:val="00121877"/>
    <w:rsid w:val="001368C6"/>
    <w:rsid w:val="00145E35"/>
    <w:rsid w:val="00150D72"/>
    <w:rsid w:val="00154361"/>
    <w:rsid w:val="00177864"/>
    <w:rsid w:val="001878F0"/>
    <w:rsid w:val="0019658C"/>
    <w:rsid w:val="001A18B7"/>
    <w:rsid w:val="001B3B67"/>
    <w:rsid w:val="001C1E4D"/>
    <w:rsid w:val="001E5B06"/>
    <w:rsid w:val="001F3407"/>
    <w:rsid w:val="00207019"/>
    <w:rsid w:val="00235950"/>
    <w:rsid w:val="00252D7F"/>
    <w:rsid w:val="002725AD"/>
    <w:rsid w:val="00275C42"/>
    <w:rsid w:val="00282A78"/>
    <w:rsid w:val="002C55D4"/>
    <w:rsid w:val="003102F1"/>
    <w:rsid w:val="00321725"/>
    <w:rsid w:val="003534B5"/>
    <w:rsid w:val="00382D53"/>
    <w:rsid w:val="00397BD5"/>
    <w:rsid w:val="003B53CF"/>
    <w:rsid w:val="003C7CAC"/>
    <w:rsid w:val="003F57F1"/>
    <w:rsid w:val="003F677E"/>
    <w:rsid w:val="00412234"/>
    <w:rsid w:val="004159B6"/>
    <w:rsid w:val="00462C6A"/>
    <w:rsid w:val="00464302"/>
    <w:rsid w:val="004808B5"/>
    <w:rsid w:val="004E108A"/>
    <w:rsid w:val="004E3B44"/>
    <w:rsid w:val="0055443C"/>
    <w:rsid w:val="00564369"/>
    <w:rsid w:val="00575ADA"/>
    <w:rsid w:val="005808AD"/>
    <w:rsid w:val="00587004"/>
    <w:rsid w:val="005A61DA"/>
    <w:rsid w:val="005D1CB9"/>
    <w:rsid w:val="005F0041"/>
    <w:rsid w:val="00602352"/>
    <w:rsid w:val="00656783"/>
    <w:rsid w:val="00686A10"/>
    <w:rsid w:val="00692BE5"/>
    <w:rsid w:val="006A303D"/>
    <w:rsid w:val="006A56F0"/>
    <w:rsid w:val="006B34AA"/>
    <w:rsid w:val="006C6C02"/>
    <w:rsid w:val="006D1E76"/>
    <w:rsid w:val="006D1EE1"/>
    <w:rsid w:val="006D7D9A"/>
    <w:rsid w:val="006E3CBB"/>
    <w:rsid w:val="006F315B"/>
    <w:rsid w:val="00703982"/>
    <w:rsid w:val="007125A8"/>
    <w:rsid w:val="00735134"/>
    <w:rsid w:val="007452D5"/>
    <w:rsid w:val="007A10CE"/>
    <w:rsid w:val="007A31D3"/>
    <w:rsid w:val="007B1AC7"/>
    <w:rsid w:val="007D37A8"/>
    <w:rsid w:val="007D40A5"/>
    <w:rsid w:val="007D715C"/>
    <w:rsid w:val="007E75C5"/>
    <w:rsid w:val="00803B54"/>
    <w:rsid w:val="00825648"/>
    <w:rsid w:val="00833CCF"/>
    <w:rsid w:val="008B3808"/>
    <w:rsid w:val="008E2BDB"/>
    <w:rsid w:val="008F01BB"/>
    <w:rsid w:val="008F0EA0"/>
    <w:rsid w:val="0090093A"/>
    <w:rsid w:val="00935752"/>
    <w:rsid w:val="0095051B"/>
    <w:rsid w:val="00960030"/>
    <w:rsid w:val="009716DE"/>
    <w:rsid w:val="00995BCC"/>
    <w:rsid w:val="0099709E"/>
    <w:rsid w:val="0099769C"/>
    <w:rsid w:val="009C55FE"/>
    <w:rsid w:val="009E5C9F"/>
    <w:rsid w:val="00A20499"/>
    <w:rsid w:val="00A20C5D"/>
    <w:rsid w:val="00A61DE3"/>
    <w:rsid w:val="00A71DB9"/>
    <w:rsid w:val="00A80E72"/>
    <w:rsid w:val="00AB5C22"/>
    <w:rsid w:val="00AC5275"/>
    <w:rsid w:val="00AD1850"/>
    <w:rsid w:val="00AD6E89"/>
    <w:rsid w:val="00B11C4E"/>
    <w:rsid w:val="00B1675A"/>
    <w:rsid w:val="00B40F64"/>
    <w:rsid w:val="00B42308"/>
    <w:rsid w:val="00B45A80"/>
    <w:rsid w:val="00B674C9"/>
    <w:rsid w:val="00B75C36"/>
    <w:rsid w:val="00B978CC"/>
    <w:rsid w:val="00BA2238"/>
    <w:rsid w:val="00BB3FD9"/>
    <w:rsid w:val="00BC624E"/>
    <w:rsid w:val="00C105C6"/>
    <w:rsid w:val="00C2393D"/>
    <w:rsid w:val="00C24778"/>
    <w:rsid w:val="00C3341D"/>
    <w:rsid w:val="00C4632B"/>
    <w:rsid w:val="00C635DE"/>
    <w:rsid w:val="00C74AA3"/>
    <w:rsid w:val="00C858E0"/>
    <w:rsid w:val="00C92EAB"/>
    <w:rsid w:val="00C9543A"/>
    <w:rsid w:val="00CD5ABF"/>
    <w:rsid w:val="00CF23CA"/>
    <w:rsid w:val="00D22160"/>
    <w:rsid w:val="00D32858"/>
    <w:rsid w:val="00D47DCB"/>
    <w:rsid w:val="00D54836"/>
    <w:rsid w:val="00D82832"/>
    <w:rsid w:val="00DA27A7"/>
    <w:rsid w:val="00DA4B7F"/>
    <w:rsid w:val="00DC12F0"/>
    <w:rsid w:val="00E01644"/>
    <w:rsid w:val="00E11C2D"/>
    <w:rsid w:val="00E14E7C"/>
    <w:rsid w:val="00E31194"/>
    <w:rsid w:val="00EA524F"/>
    <w:rsid w:val="00EB5266"/>
    <w:rsid w:val="00EB6652"/>
    <w:rsid w:val="00EC0CB1"/>
    <w:rsid w:val="00ED079C"/>
    <w:rsid w:val="00F05275"/>
    <w:rsid w:val="00F1325F"/>
    <w:rsid w:val="00F3660B"/>
    <w:rsid w:val="00F5559E"/>
    <w:rsid w:val="00F732B7"/>
    <w:rsid w:val="00F7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249"/>
  <w15:chartTrackingRefBased/>
  <w15:docId w15:val="{96F1D770-0043-461F-9CC3-EFE58C86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30"/>
    <w:pPr>
      <w:spacing w:after="200" w:line="240" w:lineRule="auto"/>
      <w:ind w:left="567"/>
      <w:jc w:val="both"/>
    </w:pPr>
    <w:rPr>
      <w:rFonts w:ascii="Verdana" w:hAnsi="Verdana" w:cs="Times New Roman"/>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0030"/>
    <w:pPr>
      <w:ind w:left="720"/>
      <w:contextualSpacing/>
    </w:pPr>
  </w:style>
  <w:style w:type="character" w:styleId="Textoennegrita">
    <w:name w:val="Strong"/>
    <w:basedOn w:val="Fuentedeprrafopredeter"/>
    <w:uiPriority w:val="22"/>
    <w:qFormat/>
    <w:rsid w:val="006F315B"/>
    <w:rPr>
      <w:b/>
      <w:bCs/>
    </w:rPr>
  </w:style>
  <w:style w:type="character" w:customStyle="1" w:styleId="txt-anpliado">
    <w:name w:val="txt-anpliado"/>
    <w:basedOn w:val="Fuentedeprrafopredeter"/>
    <w:rsid w:val="006F315B"/>
  </w:style>
  <w:style w:type="character" w:styleId="nfasis">
    <w:name w:val="Emphasis"/>
    <w:basedOn w:val="Fuentedeprrafopredeter"/>
    <w:uiPriority w:val="20"/>
    <w:qFormat/>
    <w:rsid w:val="006F315B"/>
    <w:rPr>
      <w:i/>
      <w:iCs/>
    </w:rPr>
  </w:style>
  <w:style w:type="paragraph" w:styleId="NormalWeb">
    <w:name w:val="Normal (Web)"/>
    <w:basedOn w:val="Normal"/>
    <w:uiPriority w:val="99"/>
    <w:unhideWhenUsed/>
    <w:rsid w:val="006F315B"/>
    <w:pPr>
      <w:spacing w:before="100" w:beforeAutospacing="1" w:after="100" w:afterAutospacing="1"/>
      <w:ind w:left="0"/>
      <w:jc w:val="left"/>
    </w:pPr>
    <w:rPr>
      <w:rFonts w:ascii="Times New Roman" w:hAnsi="Times New Roman"/>
      <w:sz w:val="24"/>
      <w:lang w:val="es-ES"/>
    </w:rPr>
  </w:style>
  <w:style w:type="paragraph" w:styleId="Encabezado">
    <w:name w:val="header"/>
    <w:basedOn w:val="Normal"/>
    <w:link w:val="EncabezadoCar"/>
    <w:uiPriority w:val="99"/>
    <w:unhideWhenUsed/>
    <w:rsid w:val="00040027"/>
    <w:pPr>
      <w:tabs>
        <w:tab w:val="center" w:pos="4252"/>
        <w:tab w:val="right" w:pos="8504"/>
      </w:tabs>
      <w:spacing w:after="0"/>
    </w:pPr>
  </w:style>
  <w:style w:type="character" w:customStyle="1" w:styleId="EncabezadoCar">
    <w:name w:val="Encabezado Car"/>
    <w:basedOn w:val="Fuentedeprrafopredeter"/>
    <w:link w:val="Encabezado"/>
    <w:uiPriority w:val="99"/>
    <w:rsid w:val="00040027"/>
    <w:rPr>
      <w:rFonts w:ascii="Verdana" w:hAnsi="Verdana" w:cs="Times New Roman"/>
      <w:sz w:val="20"/>
      <w:szCs w:val="24"/>
      <w:lang w:val="es-ES_tradnl" w:eastAsia="es-ES"/>
    </w:rPr>
  </w:style>
  <w:style w:type="paragraph" w:styleId="Piedepgina">
    <w:name w:val="footer"/>
    <w:basedOn w:val="Normal"/>
    <w:link w:val="PiedepginaCar"/>
    <w:uiPriority w:val="99"/>
    <w:unhideWhenUsed/>
    <w:rsid w:val="00040027"/>
    <w:pPr>
      <w:tabs>
        <w:tab w:val="center" w:pos="4252"/>
        <w:tab w:val="right" w:pos="8504"/>
      </w:tabs>
      <w:spacing w:after="0"/>
    </w:pPr>
  </w:style>
  <w:style w:type="character" w:customStyle="1" w:styleId="PiedepginaCar">
    <w:name w:val="Pie de página Car"/>
    <w:basedOn w:val="Fuentedeprrafopredeter"/>
    <w:link w:val="Piedepgina"/>
    <w:uiPriority w:val="99"/>
    <w:rsid w:val="00040027"/>
    <w:rPr>
      <w:rFonts w:ascii="Verdana" w:hAnsi="Verdana" w:cs="Times New Roman"/>
      <w:sz w:val="20"/>
      <w:szCs w:val="24"/>
      <w:lang w:val="es-ES_tradnl" w:eastAsia="es-ES"/>
    </w:rPr>
  </w:style>
  <w:style w:type="character" w:styleId="Refdecomentario">
    <w:name w:val="annotation reference"/>
    <w:basedOn w:val="Fuentedeprrafopredeter"/>
    <w:uiPriority w:val="99"/>
    <w:semiHidden/>
    <w:unhideWhenUsed/>
    <w:rsid w:val="001C1E4D"/>
    <w:rPr>
      <w:sz w:val="16"/>
      <w:szCs w:val="16"/>
    </w:rPr>
  </w:style>
  <w:style w:type="paragraph" w:styleId="Textocomentario">
    <w:name w:val="annotation text"/>
    <w:basedOn w:val="Normal"/>
    <w:link w:val="TextocomentarioCar"/>
    <w:uiPriority w:val="99"/>
    <w:semiHidden/>
    <w:unhideWhenUsed/>
    <w:rsid w:val="001C1E4D"/>
    <w:rPr>
      <w:szCs w:val="20"/>
    </w:rPr>
  </w:style>
  <w:style w:type="character" w:customStyle="1" w:styleId="TextocomentarioCar">
    <w:name w:val="Texto comentario Car"/>
    <w:basedOn w:val="Fuentedeprrafopredeter"/>
    <w:link w:val="Textocomentario"/>
    <w:uiPriority w:val="99"/>
    <w:semiHidden/>
    <w:rsid w:val="001C1E4D"/>
    <w:rPr>
      <w:rFonts w:ascii="Verdana" w:hAnsi="Verdan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C1E4D"/>
    <w:rPr>
      <w:b/>
      <w:bCs/>
    </w:rPr>
  </w:style>
  <w:style w:type="character" w:customStyle="1" w:styleId="AsuntodelcomentarioCar">
    <w:name w:val="Asunto del comentario Car"/>
    <w:basedOn w:val="TextocomentarioCar"/>
    <w:link w:val="Asuntodelcomentario"/>
    <w:uiPriority w:val="99"/>
    <w:semiHidden/>
    <w:rsid w:val="001C1E4D"/>
    <w:rPr>
      <w:rFonts w:ascii="Verdana" w:hAnsi="Verdana" w:cs="Times New Roman"/>
      <w:b/>
      <w:bCs/>
      <w:sz w:val="20"/>
      <w:szCs w:val="20"/>
      <w:lang w:val="es-ES_tradnl" w:eastAsia="es-ES"/>
    </w:rPr>
  </w:style>
  <w:style w:type="paragraph" w:styleId="Textodeglobo">
    <w:name w:val="Balloon Text"/>
    <w:basedOn w:val="Normal"/>
    <w:link w:val="TextodegloboCar"/>
    <w:uiPriority w:val="99"/>
    <w:semiHidden/>
    <w:unhideWhenUsed/>
    <w:rsid w:val="001C1E4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E4D"/>
    <w:rPr>
      <w:rFonts w:ascii="Segoe UI" w:hAnsi="Segoe UI" w:cs="Segoe UI"/>
      <w:sz w:val="18"/>
      <w:szCs w:val="18"/>
      <w:lang w:val="es-ES_tradnl" w:eastAsia="es-ES"/>
    </w:rPr>
  </w:style>
  <w:style w:type="table" w:styleId="Tablaconcuadrcula">
    <w:name w:val="Table Grid"/>
    <w:basedOn w:val="Tablanormal"/>
    <w:uiPriority w:val="39"/>
    <w:rsid w:val="00C4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5C22"/>
    <w:rPr>
      <w:color w:val="0563C1" w:themeColor="hyperlink"/>
      <w:u w:val="single"/>
    </w:rPr>
  </w:style>
  <w:style w:type="character" w:styleId="Mencinsinresolver">
    <w:name w:val="Unresolved Mention"/>
    <w:basedOn w:val="Fuentedeprrafopredeter"/>
    <w:uiPriority w:val="99"/>
    <w:semiHidden/>
    <w:unhideWhenUsed/>
    <w:rsid w:val="00AB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155">
      <w:bodyDiv w:val="1"/>
      <w:marLeft w:val="0"/>
      <w:marRight w:val="0"/>
      <w:marTop w:val="0"/>
      <w:marBottom w:val="0"/>
      <w:divBdr>
        <w:top w:val="none" w:sz="0" w:space="0" w:color="auto"/>
        <w:left w:val="none" w:sz="0" w:space="0" w:color="auto"/>
        <w:bottom w:val="none" w:sz="0" w:space="0" w:color="auto"/>
        <w:right w:val="none" w:sz="0" w:space="0" w:color="auto"/>
      </w:divBdr>
    </w:div>
    <w:div w:id="90013349">
      <w:bodyDiv w:val="1"/>
      <w:marLeft w:val="0"/>
      <w:marRight w:val="0"/>
      <w:marTop w:val="0"/>
      <w:marBottom w:val="0"/>
      <w:divBdr>
        <w:top w:val="none" w:sz="0" w:space="0" w:color="auto"/>
        <w:left w:val="none" w:sz="0" w:space="0" w:color="auto"/>
        <w:bottom w:val="none" w:sz="0" w:space="0" w:color="auto"/>
        <w:right w:val="none" w:sz="0" w:space="0" w:color="auto"/>
      </w:divBdr>
    </w:div>
    <w:div w:id="426778139">
      <w:bodyDiv w:val="1"/>
      <w:marLeft w:val="0"/>
      <w:marRight w:val="0"/>
      <w:marTop w:val="0"/>
      <w:marBottom w:val="0"/>
      <w:divBdr>
        <w:top w:val="none" w:sz="0" w:space="0" w:color="auto"/>
        <w:left w:val="none" w:sz="0" w:space="0" w:color="auto"/>
        <w:bottom w:val="none" w:sz="0" w:space="0" w:color="auto"/>
        <w:right w:val="none" w:sz="0" w:space="0" w:color="auto"/>
      </w:divBdr>
    </w:div>
    <w:div w:id="841745275">
      <w:bodyDiv w:val="1"/>
      <w:marLeft w:val="0"/>
      <w:marRight w:val="0"/>
      <w:marTop w:val="0"/>
      <w:marBottom w:val="0"/>
      <w:divBdr>
        <w:top w:val="none" w:sz="0" w:space="0" w:color="auto"/>
        <w:left w:val="none" w:sz="0" w:space="0" w:color="auto"/>
        <w:bottom w:val="none" w:sz="0" w:space="0" w:color="auto"/>
        <w:right w:val="none" w:sz="0" w:space="0" w:color="auto"/>
      </w:divBdr>
    </w:div>
    <w:div w:id="9520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Izaskun Martínez</dc:creator>
  <cp:keywords/>
  <dc:description/>
  <cp:lastModifiedBy>Izaskun Martínez</cp:lastModifiedBy>
  <cp:revision>3</cp:revision>
  <cp:lastPrinted>2019-10-30T16:44:00Z</cp:lastPrinted>
  <dcterms:created xsi:type="dcterms:W3CDTF">2019-11-05T09:18:00Z</dcterms:created>
  <dcterms:modified xsi:type="dcterms:W3CDTF">2019-11-05T09:19:00Z</dcterms:modified>
</cp:coreProperties>
</file>